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1" w:rsidRPr="0065596C" w:rsidRDefault="00B408C1" w:rsidP="00B408C1">
      <w:pPr>
        <w:jc w:val="right"/>
        <w:rPr>
          <w:rFonts w:ascii="Arial" w:hAnsi="Arial" w:cs="Arial"/>
          <w:b/>
          <w:sz w:val="24"/>
          <w:szCs w:val="24"/>
          <w:u w:val="single"/>
        </w:rPr>
      </w:pPr>
      <w:r>
        <w:rPr>
          <w:noProof/>
          <w:lang w:eastAsia="en-GB"/>
        </w:rPr>
        <w:drawing>
          <wp:inline distT="0" distB="0" distL="0" distR="0">
            <wp:extent cx="942975" cy="1257300"/>
            <wp:effectExtent l="0" t="0" r="9525"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736DDB" w:rsidRPr="00581866" w:rsidRDefault="00B408C1" w:rsidP="00736DDB">
      <w:pPr>
        <w:rPr>
          <w:rFonts w:ascii="Arial" w:hAnsi="Arial" w:cs="Arial"/>
          <w:b/>
          <w:sz w:val="24"/>
          <w:szCs w:val="24"/>
        </w:rPr>
      </w:pPr>
      <w:r>
        <w:rPr>
          <w:rFonts w:ascii="Arial" w:hAnsi="Arial" w:cs="Arial"/>
          <w:b/>
          <w:sz w:val="24"/>
          <w:szCs w:val="24"/>
        </w:rPr>
        <w:t>T</w:t>
      </w:r>
      <w:r w:rsidR="00736DDB" w:rsidRPr="00581866">
        <w:rPr>
          <w:rFonts w:ascii="Arial" w:hAnsi="Arial" w:cs="Arial"/>
          <w:b/>
          <w:sz w:val="24"/>
          <w:szCs w:val="24"/>
        </w:rPr>
        <w:t xml:space="preserve">o:  The Housing Scrutiny Panel </w:t>
      </w:r>
    </w:p>
    <w:p w:rsidR="00736DDB" w:rsidRPr="00581866" w:rsidRDefault="00736DDB" w:rsidP="00736DDB">
      <w:pPr>
        <w:rPr>
          <w:rFonts w:ascii="Arial" w:hAnsi="Arial" w:cs="Arial"/>
          <w:b/>
          <w:sz w:val="24"/>
          <w:szCs w:val="24"/>
        </w:rPr>
      </w:pPr>
      <w:r w:rsidRPr="00581866">
        <w:rPr>
          <w:rFonts w:ascii="Arial" w:hAnsi="Arial" w:cs="Arial"/>
          <w:b/>
          <w:sz w:val="24"/>
          <w:szCs w:val="24"/>
        </w:rPr>
        <w:t>Date: 10/12/15</w:t>
      </w:r>
    </w:p>
    <w:p w:rsidR="00736DDB" w:rsidRPr="00581866" w:rsidRDefault="00736DDB" w:rsidP="00736DDB">
      <w:pPr>
        <w:rPr>
          <w:rFonts w:ascii="Arial" w:hAnsi="Arial" w:cs="Arial"/>
          <w:b/>
          <w:sz w:val="24"/>
          <w:szCs w:val="24"/>
        </w:rPr>
      </w:pPr>
      <w:r w:rsidRPr="00581866">
        <w:rPr>
          <w:rFonts w:ascii="Arial" w:hAnsi="Arial" w:cs="Arial"/>
          <w:b/>
          <w:sz w:val="24"/>
          <w:szCs w:val="24"/>
        </w:rPr>
        <w:t>Report of:  Allocations Manager</w:t>
      </w:r>
    </w:p>
    <w:p w:rsidR="00581866" w:rsidRPr="00581866" w:rsidRDefault="00736DDB" w:rsidP="00736DDB">
      <w:pPr>
        <w:rPr>
          <w:rFonts w:ascii="Arial" w:hAnsi="Arial" w:cs="Arial"/>
          <w:b/>
          <w:sz w:val="24"/>
          <w:szCs w:val="24"/>
        </w:rPr>
      </w:pPr>
      <w:r w:rsidRPr="00581866">
        <w:rPr>
          <w:rFonts w:ascii="Arial" w:hAnsi="Arial" w:cs="Arial"/>
          <w:b/>
          <w:sz w:val="24"/>
          <w:szCs w:val="24"/>
        </w:rPr>
        <w:t>Title of the Report:  Choice-Based Lettings Update</w:t>
      </w:r>
    </w:p>
    <w:p w:rsidR="00736DDB" w:rsidRPr="0065596C" w:rsidRDefault="00736DDB" w:rsidP="00736DDB">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736DDB" w:rsidRPr="0065596C" w:rsidRDefault="00736DDB" w:rsidP="00736DDB">
      <w:pPr>
        <w:pStyle w:val="Heading1"/>
        <w:pBdr>
          <w:top w:val="single" w:sz="4" w:space="1" w:color="auto"/>
          <w:left w:val="single" w:sz="4" w:space="4" w:color="auto"/>
          <w:bottom w:val="single" w:sz="4" w:space="1" w:color="auto"/>
          <w:right w:val="single" w:sz="4" w:space="4" w:color="auto"/>
        </w:pBdr>
        <w:jc w:val="center"/>
        <w:rPr>
          <w:rFonts w:cs="Arial"/>
          <w:u w:val="single"/>
        </w:rPr>
      </w:pPr>
      <w:r w:rsidRPr="0065596C">
        <w:rPr>
          <w:rFonts w:cs="Arial"/>
          <w:u w:val="single"/>
        </w:rPr>
        <w:t>Summary and Recommendations</w:t>
      </w:r>
    </w:p>
    <w:p w:rsidR="00736DDB" w:rsidRPr="0065596C" w:rsidRDefault="00736DDB" w:rsidP="00736DDB">
      <w:pPr>
        <w:pBdr>
          <w:top w:val="single" w:sz="4" w:space="1" w:color="auto"/>
          <w:left w:val="single" w:sz="4" w:space="4" w:color="auto"/>
          <w:bottom w:val="single" w:sz="4" w:space="1" w:color="auto"/>
          <w:right w:val="single" w:sz="4" w:space="4" w:color="auto"/>
        </w:pBdr>
        <w:rPr>
          <w:rFonts w:ascii="Arial" w:hAnsi="Arial" w:cs="Arial"/>
          <w:sz w:val="24"/>
          <w:szCs w:val="24"/>
        </w:rPr>
      </w:pPr>
    </w:p>
    <w:p w:rsidR="00581866" w:rsidRDefault="00736DDB" w:rsidP="004F1FC7">
      <w:pPr>
        <w:pBdr>
          <w:top w:val="single" w:sz="4" w:space="1" w:color="auto"/>
          <w:left w:val="single" w:sz="4" w:space="4" w:color="auto"/>
          <w:bottom w:val="single" w:sz="4" w:space="1" w:color="auto"/>
          <w:right w:val="single" w:sz="4" w:space="4" w:color="auto"/>
        </w:pBdr>
        <w:spacing w:after="0"/>
        <w:ind w:left="2880" w:hanging="2880"/>
        <w:rPr>
          <w:rFonts w:ascii="Arial" w:hAnsi="Arial" w:cs="Arial"/>
          <w:sz w:val="24"/>
          <w:szCs w:val="24"/>
        </w:rPr>
      </w:pPr>
      <w:r w:rsidRPr="0065596C">
        <w:rPr>
          <w:rFonts w:ascii="Arial" w:hAnsi="Arial" w:cs="Arial"/>
          <w:b/>
          <w:bCs/>
          <w:sz w:val="24"/>
          <w:szCs w:val="24"/>
        </w:rPr>
        <w:t>Purpose of report</w:t>
      </w:r>
      <w:r w:rsidRPr="0065596C">
        <w:rPr>
          <w:rFonts w:ascii="Arial" w:hAnsi="Arial" w:cs="Arial"/>
          <w:b/>
          <w:sz w:val="24"/>
          <w:szCs w:val="24"/>
        </w:rPr>
        <w:t xml:space="preserve">:     </w:t>
      </w:r>
      <w:r w:rsidR="00423FCE">
        <w:rPr>
          <w:rFonts w:ascii="Arial" w:hAnsi="Arial" w:cs="Arial"/>
          <w:b/>
          <w:sz w:val="24"/>
          <w:szCs w:val="24"/>
        </w:rPr>
        <w:tab/>
      </w:r>
      <w:r w:rsidR="00423FCE" w:rsidRPr="00581866">
        <w:rPr>
          <w:rFonts w:ascii="Arial" w:hAnsi="Arial" w:cs="Arial"/>
          <w:sz w:val="24"/>
          <w:szCs w:val="24"/>
        </w:rPr>
        <w:t>To provide an update on Choice-Based Lettings and future changes b</w:t>
      </w:r>
      <w:bookmarkStart w:id="0" w:name="_GoBack"/>
      <w:bookmarkEnd w:id="0"/>
      <w:r w:rsidR="00423FCE" w:rsidRPr="00581866">
        <w:rPr>
          <w:rFonts w:ascii="Arial" w:hAnsi="Arial" w:cs="Arial"/>
          <w:sz w:val="24"/>
          <w:szCs w:val="24"/>
        </w:rPr>
        <w:t>eing considered</w:t>
      </w:r>
      <w:r w:rsidRPr="00581866">
        <w:rPr>
          <w:rFonts w:ascii="Arial" w:hAnsi="Arial" w:cs="Arial"/>
          <w:sz w:val="24"/>
          <w:szCs w:val="24"/>
        </w:rPr>
        <w:tab/>
      </w:r>
      <w:r w:rsidRPr="00581866">
        <w:rPr>
          <w:rFonts w:ascii="Arial" w:hAnsi="Arial" w:cs="Arial"/>
          <w:sz w:val="24"/>
          <w:szCs w:val="24"/>
        </w:rPr>
        <w:tab/>
      </w:r>
    </w:p>
    <w:p w:rsidR="00736DDB" w:rsidRPr="0065596C" w:rsidRDefault="00736DDB" w:rsidP="004F1FC7">
      <w:pPr>
        <w:pBdr>
          <w:top w:val="single" w:sz="4" w:space="1" w:color="auto"/>
          <w:left w:val="single" w:sz="4" w:space="4" w:color="auto"/>
          <w:bottom w:val="single" w:sz="4" w:space="1" w:color="auto"/>
          <w:right w:val="single" w:sz="4" w:space="4" w:color="auto"/>
        </w:pBdr>
        <w:spacing w:after="0"/>
        <w:ind w:left="2880" w:hanging="2880"/>
        <w:rPr>
          <w:rFonts w:ascii="Arial" w:hAnsi="Arial" w:cs="Arial"/>
          <w:sz w:val="24"/>
          <w:szCs w:val="24"/>
        </w:rPr>
      </w:pPr>
      <w:r w:rsidRPr="0065596C">
        <w:rPr>
          <w:rFonts w:ascii="Arial" w:hAnsi="Arial" w:cs="Arial"/>
          <w:sz w:val="24"/>
          <w:szCs w:val="24"/>
        </w:rPr>
        <w:tab/>
      </w:r>
      <w:r w:rsidRPr="0065596C">
        <w:rPr>
          <w:rFonts w:ascii="Arial" w:hAnsi="Arial" w:cs="Arial"/>
          <w:sz w:val="24"/>
          <w:szCs w:val="24"/>
        </w:rPr>
        <w:tab/>
      </w:r>
    </w:p>
    <w:p w:rsidR="00736DDB" w:rsidRDefault="00736DDB" w:rsidP="004F1FC7">
      <w:pPr>
        <w:pBdr>
          <w:top w:val="single" w:sz="4" w:space="1" w:color="auto"/>
          <w:left w:val="single" w:sz="4" w:space="4" w:color="auto"/>
          <w:bottom w:val="single" w:sz="4" w:space="1" w:color="auto"/>
          <w:right w:val="single" w:sz="4" w:space="4" w:color="auto"/>
        </w:pBdr>
        <w:spacing w:after="0"/>
        <w:rPr>
          <w:rFonts w:ascii="Arial" w:hAnsi="Arial" w:cs="Arial"/>
          <w:bCs/>
          <w:sz w:val="24"/>
          <w:szCs w:val="24"/>
        </w:rPr>
      </w:pPr>
      <w:r w:rsidRPr="0065596C">
        <w:rPr>
          <w:rFonts w:ascii="Arial" w:hAnsi="Arial" w:cs="Arial"/>
          <w:b/>
          <w:bCs/>
          <w:sz w:val="24"/>
          <w:szCs w:val="24"/>
        </w:rPr>
        <w:t xml:space="preserve">Policy Framework:           </w:t>
      </w:r>
      <w:r w:rsidRPr="00581866">
        <w:rPr>
          <w:rFonts w:ascii="Arial" w:hAnsi="Arial" w:cs="Arial"/>
          <w:bCs/>
          <w:sz w:val="24"/>
          <w:szCs w:val="24"/>
        </w:rPr>
        <w:t>Meeting Housing Needs</w:t>
      </w:r>
    </w:p>
    <w:p w:rsidR="00581866" w:rsidRPr="00581866" w:rsidRDefault="00581866" w:rsidP="004F1FC7">
      <w:pPr>
        <w:pBdr>
          <w:top w:val="single" w:sz="4" w:space="1" w:color="auto"/>
          <w:left w:val="single" w:sz="4" w:space="4" w:color="auto"/>
          <w:bottom w:val="single" w:sz="4" w:space="1" w:color="auto"/>
          <w:right w:val="single" w:sz="4" w:space="4" w:color="auto"/>
        </w:pBdr>
        <w:spacing w:after="0"/>
        <w:rPr>
          <w:rFonts w:ascii="Arial" w:hAnsi="Arial" w:cs="Arial"/>
          <w:bCs/>
          <w:sz w:val="24"/>
          <w:szCs w:val="24"/>
        </w:rPr>
      </w:pPr>
    </w:p>
    <w:p w:rsidR="00FF563F" w:rsidRPr="00581866" w:rsidRDefault="00FF563F" w:rsidP="004F1FC7">
      <w:pPr>
        <w:pBdr>
          <w:top w:val="single" w:sz="4" w:space="1" w:color="auto"/>
          <w:left w:val="single" w:sz="4" w:space="4" w:color="auto"/>
          <w:bottom w:val="single" w:sz="4" w:space="1" w:color="auto"/>
          <w:right w:val="single" w:sz="4" w:space="4" w:color="auto"/>
        </w:pBdr>
        <w:tabs>
          <w:tab w:val="left" w:pos="3048"/>
        </w:tabs>
        <w:spacing w:after="0"/>
        <w:rPr>
          <w:rFonts w:ascii="Arial" w:hAnsi="Arial" w:cs="Arial"/>
          <w:sz w:val="24"/>
          <w:szCs w:val="24"/>
        </w:rPr>
      </w:pPr>
      <w:r>
        <w:rPr>
          <w:rFonts w:ascii="Arial" w:hAnsi="Arial" w:cs="Arial"/>
          <w:b/>
          <w:sz w:val="24"/>
          <w:szCs w:val="24"/>
        </w:rPr>
        <w:t xml:space="preserve">Recommendation(s):       </w:t>
      </w:r>
      <w:r w:rsidR="00423FCE" w:rsidRPr="00581866">
        <w:rPr>
          <w:rFonts w:ascii="Arial" w:hAnsi="Arial" w:cs="Arial"/>
          <w:sz w:val="24"/>
          <w:szCs w:val="24"/>
        </w:rPr>
        <w:t xml:space="preserve">Note </w:t>
      </w:r>
      <w:r w:rsidRPr="00581866">
        <w:rPr>
          <w:rFonts w:ascii="Arial" w:hAnsi="Arial" w:cs="Arial"/>
          <w:sz w:val="24"/>
          <w:szCs w:val="24"/>
        </w:rPr>
        <w:t xml:space="preserve">the changes being considered to </w:t>
      </w:r>
      <w:r w:rsidR="00423FCE" w:rsidRPr="00581866">
        <w:rPr>
          <w:rFonts w:ascii="Arial" w:hAnsi="Arial" w:cs="Arial"/>
          <w:sz w:val="24"/>
          <w:szCs w:val="24"/>
        </w:rPr>
        <w:t>Choic</w:t>
      </w:r>
      <w:r w:rsidRPr="00581866">
        <w:rPr>
          <w:rFonts w:ascii="Arial" w:hAnsi="Arial" w:cs="Arial"/>
          <w:sz w:val="24"/>
          <w:szCs w:val="24"/>
        </w:rPr>
        <w:t>e-</w:t>
      </w:r>
    </w:p>
    <w:p w:rsidR="00736DDB" w:rsidRPr="00581866" w:rsidRDefault="00FF563F" w:rsidP="004F1FC7">
      <w:pPr>
        <w:pBdr>
          <w:top w:val="single" w:sz="4" w:space="1" w:color="auto"/>
          <w:left w:val="single" w:sz="4" w:space="4" w:color="auto"/>
          <w:bottom w:val="single" w:sz="4" w:space="1" w:color="auto"/>
          <w:right w:val="single" w:sz="4" w:space="4" w:color="auto"/>
        </w:pBdr>
        <w:tabs>
          <w:tab w:val="left" w:pos="3048"/>
        </w:tabs>
        <w:spacing w:after="0"/>
        <w:rPr>
          <w:rFonts w:ascii="Arial" w:hAnsi="Arial" w:cs="Arial"/>
          <w:sz w:val="24"/>
          <w:szCs w:val="24"/>
        </w:rPr>
      </w:pPr>
      <w:r w:rsidRPr="00581866">
        <w:rPr>
          <w:rFonts w:ascii="Arial" w:hAnsi="Arial" w:cs="Arial"/>
          <w:sz w:val="24"/>
          <w:szCs w:val="24"/>
        </w:rPr>
        <w:t xml:space="preserve">                                           Based Lettings cycles </w:t>
      </w:r>
    </w:p>
    <w:p w:rsidR="00736DDB" w:rsidRPr="0065596C" w:rsidRDefault="00736DDB" w:rsidP="00736DDB">
      <w:pPr>
        <w:pBdr>
          <w:top w:val="single" w:sz="4" w:space="1" w:color="auto"/>
          <w:left w:val="single" w:sz="4" w:space="4" w:color="auto"/>
          <w:bottom w:val="single" w:sz="4" w:space="1" w:color="auto"/>
          <w:right w:val="single" w:sz="4" w:space="4" w:color="auto"/>
        </w:pBdr>
        <w:tabs>
          <w:tab w:val="left" w:pos="3048"/>
        </w:tabs>
        <w:rPr>
          <w:rFonts w:ascii="Arial" w:hAnsi="Arial" w:cs="Arial"/>
          <w:sz w:val="24"/>
          <w:szCs w:val="24"/>
        </w:rPr>
      </w:pPr>
    </w:p>
    <w:p w:rsidR="00581866" w:rsidRDefault="00581866" w:rsidP="00FB30A5">
      <w:pPr>
        <w:spacing w:after="0" w:line="240" w:lineRule="auto"/>
        <w:rPr>
          <w:rFonts w:ascii="Arial" w:hAnsi="Arial" w:cs="Arial"/>
          <w:b/>
          <w:sz w:val="24"/>
          <w:szCs w:val="24"/>
        </w:rPr>
      </w:pPr>
    </w:p>
    <w:p w:rsidR="008C04E9" w:rsidRDefault="00E40554" w:rsidP="00FB30A5">
      <w:pPr>
        <w:spacing w:after="0" w:line="240" w:lineRule="auto"/>
        <w:rPr>
          <w:rFonts w:ascii="Arial" w:hAnsi="Arial" w:cs="Arial"/>
          <w:b/>
          <w:sz w:val="24"/>
          <w:szCs w:val="24"/>
        </w:rPr>
      </w:pPr>
      <w:r>
        <w:rPr>
          <w:rFonts w:ascii="Arial" w:hAnsi="Arial" w:cs="Arial"/>
          <w:b/>
          <w:sz w:val="24"/>
          <w:szCs w:val="24"/>
        </w:rPr>
        <w:t>Appendices</w:t>
      </w:r>
    </w:p>
    <w:p w:rsidR="00E40554" w:rsidRPr="00581866" w:rsidRDefault="00E40554" w:rsidP="00FB30A5">
      <w:pPr>
        <w:spacing w:after="0" w:line="240" w:lineRule="auto"/>
        <w:rPr>
          <w:rFonts w:ascii="Arial" w:hAnsi="Arial" w:cs="Arial"/>
          <w:i/>
          <w:sz w:val="24"/>
          <w:szCs w:val="24"/>
        </w:rPr>
      </w:pPr>
    </w:p>
    <w:p w:rsidR="00B50BFA" w:rsidRPr="00581866" w:rsidRDefault="00FB30A5" w:rsidP="00FB30A5">
      <w:pPr>
        <w:spacing w:after="0" w:line="240" w:lineRule="auto"/>
        <w:rPr>
          <w:rFonts w:ascii="Arial" w:hAnsi="Arial" w:cs="Arial"/>
          <w:i/>
          <w:sz w:val="24"/>
          <w:szCs w:val="24"/>
        </w:rPr>
      </w:pPr>
      <w:r w:rsidRPr="00581866">
        <w:rPr>
          <w:rFonts w:ascii="Arial" w:hAnsi="Arial" w:cs="Arial"/>
          <w:i/>
          <w:sz w:val="24"/>
          <w:szCs w:val="24"/>
        </w:rPr>
        <w:t xml:space="preserve">Appendix I:  </w:t>
      </w:r>
      <w:r w:rsidR="00BB3550" w:rsidRPr="00581866">
        <w:rPr>
          <w:rFonts w:ascii="Arial" w:hAnsi="Arial" w:cs="Arial"/>
          <w:i/>
          <w:sz w:val="24"/>
          <w:szCs w:val="24"/>
        </w:rPr>
        <w:t xml:space="preserve"> </w:t>
      </w:r>
      <w:r w:rsidRPr="00581866">
        <w:rPr>
          <w:rFonts w:ascii="Arial" w:hAnsi="Arial" w:cs="Arial"/>
          <w:i/>
          <w:sz w:val="24"/>
          <w:szCs w:val="24"/>
        </w:rPr>
        <w:t xml:space="preserve">A </w:t>
      </w:r>
      <w:r w:rsidR="00B50BFA" w:rsidRPr="00581866">
        <w:rPr>
          <w:rFonts w:ascii="Arial" w:hAnsi="Arial" w:cs="Arial"/>
          <w:i/>
          <w:sz w:val="24"/>
          <w:szCs w:val="24"/>
        </w:rPr>
        <w:t>summary of Housing Need Priority Bands</w:t>
      </w:r>
    </w:p>
    <w:p w:rsidR="000C2D97" w:rsidRPr="00581866" w:rsidRDefault="00581866" w:rsidP="00581866">
      <w:pPr>
        <w:spacing w:after="0"/>
        <w:rPr>
          <w:rFonts w:ascii="Arial" w:hAnsi="Arial" w:cs="Arial"/>
          <w:i/>
          <w:sz w:val="24"/>
          <w:szCs w:val="24"/>
        </w:rPr>
      </w:pPr>
      <w:r>
        <w:rPr>
          <w:rFonts w:ascii="Arial" w:hAnsi="Arial" w:cs="Arial"/>
          <w:i/>
          <w:sz w:val="24"/>
          <w:szCs w:val="24"/>
        </w:rPr>
        <w:t>Append</w:t>
      </w:r>
      <w:r w:rsidR="000C2D97" w:rsidRPr="00581866">
        <w:rPr>
          <w:rFonts w:ascii="Arial" w:hAnsi="Arial" w:cs="Arial"/>
          <w:i/>
          <w:sz w:val="24"/>
          <w:szCs w:val="24"/>
        </w:rPr>
        <w:t xml:space="preserve">ix II: </w:t>
      </w:r>
      <w:r w:rsidR="00BB3550" w:rsidRPr="00581866">
        <w:rPr>
          <w:rFonts w:ascii="Arial" w:hAnsi="Arial" w:cs="Arial"/>
          <w:i/>
          <w:sz w:val="24"/>
          <w:szCs w:val="24"/>
        </w:rPr>
        <w:t xml:space="preserve"> </w:t>
      </w:r>
      <w:r w:rsidR="000C2D97" w:rsidRPr="00581866">
        <w:rPr>
          <w:rFonts w:ascii="Arial" w:hAnsi="Arial" w:cs="Arial"/>
          <w:i/>
          <w:sz w:val="24"/>
          <w:szCs w:val="24"/>
        </w:rPr>
        <w:t>Lettings &amp; Nominations 1/4/15 to 31/10/15</w:t>
      </w:r>
    </w:p>
    <w:p w:rsidR="00CD6D2C" w:rsidRPr="00581866" w:rsidRDefault="00E40554" w:rsidP="00E40554">
      <w:pPr>
        <w:spacing w:after="0" w:line="240" w:lineRule="auto"/>
        <w:rPr>
          <w:rFonts w:ascii="Arial" w:hAnsi="Arial" w:cs="Arial"/>
          <w:i/>
          <w:sz w:val="24"/>
          <w:szCs w:val="24"/>
        </w:rPr>
      </w:pPr>
      <w:r w:rsidRPr="00581866">
        <w:rPr>
          <w:rFonts w:ascii="Arial" w:hAnsi="Arial" w:cs="Arial"/>
          <w:i/>
          <w:sz w:val="24"/>
          <w:szCs w:val="24"/>
        </w:rPr>
        <w:t>Appendix II</w:t>
      </w:r>
      <w:r w:rsidR="000C2D97" w:rsidRPr="00581866">
        <w:rPr>
          <w:rFonts w:ascii="Arial" w:hAnsi="Arial" w:cs="Arial"/>
          <w:i/>
          <w:sz w:val="24"/>
          <w:szCs w:val="24"/>
        </w:rPr>
        <w:t>I</w:t>
      </w:r>
      <w:r w:rsidR="00BB3550" w:rsidRPr="00581866">
        <w:rPr>
          <w:rFonts w:ascii="Arial" w:hAnsi="Arial" w:cs="Arial"/>
          <w:i/>
          <w:sz w:val="24"/>
          <w:szCs w:val="24"/>
        </w:rPr>
        <w:t xml:space="preserve">: </w:t>
      </w:r>
      <w:r w:rsidRPr="00581866">
        <w:rPr>
          <w:rFonts w:ascii="Arial" w:hAnsi="Arial" w:cs="Arial"/>
          <w:i/>
          <w:sz w:val="24"/>
          <w:szCs w:val="24"/>
        </w:rPr>
        <w:t xml:space="preserve">A breakdown of the number of bids received </w:t>
      </w:r>
      <w:r w:rsidR="00B50BFA" w:rsidRPr="00581866">
        <w:rPr>
          <w:rFonts w:ascii="Arial" w:hAnsi="Arial" w:cs="Arial"/>
          <w:i/>
          <w:sz w:val="24"/>
          <w:szCs w:val="24"/>
        </w:rPr>
        <w:t xml:space="preserve">during </w:t>
      </w:r>
      <w:r w:rsidRPr="00581866">
        <w:rPr>
          <w:rFonts w:ascii="Arial" w:hAnsi="Arial" w:cs="Arial"/>
          <w:i/>
          <w:sz w:val="24"/>
          <w:szCs w:val="24"/>
        </w:rPr>
        <w:t xml:space="preserve">each Choice-Based Lettings cycle for </w:t>
      </w:r>
      <w:r w:rsidR="00B50BFA" w:rsidRPr="00581866">
        <w:rPr>
          <w:rFonts w:ascii="Arial" w:hAnsi="Arial" w:cs="Arial"/>
          <w:i/>
          <w:sz w:val="24"/>
          <w:szCs w:val="24"/>
        </w:rPr>
        <w:t xml:space="preserve">the </w:t>
      </w:r>
      <w:r w:rsidRPr="00581866">
        <w:rPr>
          <w:rFonts w:ascii="Arial" w:hAnsi="Arial" w:cs="Arial"/>
          <w:i/>
          <w:sz w:val="24"/>
          <w:szCs w:val="24"/>
        </w:rPr>
        <w:t>last 3 months</w:t>
      </w:r>
    </w:p>
    <w:p w:rsidR="00CD6D2C" w:rsidRPr="00581866" w:rsidRDefault="00CD6D2C" w:rsidP="00CD6D2C">
      <w:pPr>
        <w:rPr>
          <w:rFonts w:ascii="Arial" w:hAnsi="Arial" w:cs="Arial"/>
          <w:i/>
          <w:sz w:val="24"/>
          <w:szCs w:val="24"/>
        </w:rPr>
      </w:pPr>
      <w:r w:rsidRPr="00581866">
        <w:rPr>
          <w:rFonts w:ascii="Arial" w:hAnsi="Arial" w:cs="Arial"/>
          <w:i/>
          <w:sz w:val="24"/>
          <w:szCs w:val="24"/>
        </w:rPr>
        <w:t>Appendix IV: Oxford Register for Affordable Housing lettings targets</w:t>
      </w:r>
    </w:p>
    <w:p w:rsidR="00CD6D2C" w:rsidRPr="000C2D97" w:rsidRDefault="00CD6D2C" w:rsidP="00E40554">
      <w:pPr>
        <w:spacing w:after="0" w:line="240" w:lineRule="auto"/>
        <w:rPr>
          <w:rFonts w:ascii="Arial" w:hAnsi="Arial" w:cs="Arial"/>
          <w:b/>
          <w:sz w:val="24"/>
          <w:szCs w:val="24"/>
        </w:rPr>
      </w:pPr>
    </w:p>
    <w:p w:rsidR="00736DDB" w:rsidRPr="000C2D97" w:rsidRDefault="00736DDB" w:rsidP="00736DDB">
      <w:pPr>
        <w:rPr>
          <w:rFonts w:ascii="Arial" w:hAnsi="Arial" w:cs="Arial"/>
          <w:b/>
          <w:sz w:val="24"/>
          <w:szCs w:val="24"/>
        </w:rPr>
      </w:pPr>
    </w:p>
    <w:p w:rsidR="00736DDB" w:rsidRPr="0065596C" w:rsidRDefault="00736DDB">
      <w:pPr>
        <w:spacing w:after="0" w:line="240" w:lineRule="auto"/>
        <w:rPr>
          <w:rFonts w:ascii="Arial" w:hAnsi="Arial" w:cs="Arial"/>
          <w:sz w:val="24"/>
          <w:szCs w:val="24"/>
        </w:rPr>
      </w:pPr>
      <w:r w:rsidRPr="0065596C">
        <w:rPr>
          <w:rFonts w:ascii="Arial" w:hAnsi="Arial" w:cs="Arial"/>
          <w:sz w:val="24"/>
          <w:szCs w:val="24"/>
        </w:rPr>
        <w:br w:type="page"/>
      </w:r>
    </w:p>
    <w:tbl>
      <w:tblPr>
        <w:tblStyle w:val="TableGrid"/>
        <w:tblW w:w="0" w:type="auto"/>
        <w:tblLook w:val="04A0" w:firstRow="1" w:lastRow="0" w:firstColumn="1" w:lastColumn="0" w:noHBand="0" w:noVBand="1"/>
      </w:tblPr>
      <w:tblGrid>
        <w:gridCol w:w="576"/>
        <w:gridCol w:w="8666"/>
      </w:tblGrid>
      <w:tr w:rsidR="00736DDB" w:rsidRPr="0065596C" w:rsidTr="00736DDB">
        <w:tc>
          <w:tcPr>
            <w:tcW w:w="675" w:type="dxa"/>
          </w:tcPr>
          <w:p w:rsidR="00736DDB" w:rsidRPr="0065596C" w:rsidRDefault="00736DDB" w:rsidP="008A22C6">
            <w:pPr>
              <w:rPr>
                <w:rFonts w:ascii="Arial" w:hAnsi="Arial" w:cs="Arial"/>
                <w:sz w:val="24"/>
                <w:szCs w:val="24"/>
              </w:rPr>
            </w:pPr>
            <w:r w:rsidRPr="0065596C">
              <w:rPr>
                <w:rFonts w:ascii="Arial" w:hAnsi="Arial" w:cs="Arial"/>
                <w:sz w:val="24"/>
                <w:szCs w:val="24"/>
              </w:rPr>
              <w:lastRenderedPageBreak/>
              <w:t>1.</w:t>
            </w:r>
          </w:p>
        </w:tc>
        <w:tc>
          <w:tcPr>
            <w:tcW w:w="8567" w:type="dxa"/>
          </w:tcPr>
          <w:p w:rsidR="00736DDB" w:rsidRPr="0065596C" w:rsidRDefault="0065596C" w:rsidP="009B4E71">
            <w:pPr>
              <w:rPr>
                <w:rFonts w:ascii="Arial" w:hAnsi="Arial" w:cs="Arial"/>
                <w:sz w:val="24"/>
                <w:szCs w:val="24"/>
              </w:rPr>
            </w:pPr>
            <w:r w:rsidRPr="0065596C">
              <w:rPr>
                <w:rFonts w:ascii="Arial" w:hAnsi="Arial" w:cs="Arial"/>
                <w:sz w:val="24"/>
                <w:szCs w:val="24"/>
              </w:rPr>
              <w:t>The Council’s Allocations Scheme sets out the policy use</w:t>
            </w:r>
            <w:r w:rsidR="009044B3">
              <w:rPr>
                <w:rFonts w:ascii="Arial" w:hAnsi="Arial" w:cs="Arial"/>
                <w:sz w:val="24"/>
                <w:szCs w:val="24"/>
              </w:rPr>
              <w:t>d</w:t>
            </w:r>
            <w:r w:rsidRPr="0065596C">
              <w:rPr>
                <w:rFonts w:ascii="Arial" w:hAnsi="Arial" w:cs="Arial"/>
                <w:sz w:val="24"/>
                <w:szCs w:val="24"/>
              </w:rPr>
              <w:t xml:space="preserve"> to prioritise those in housing need on the Oxford Register for Affordable Housing (ORAH) for offers of housing.  The current scheme was approved by the Council and came into effect on 12/12/13. The Allocations Scheme seeks to balance local needs and aspirations with current legislation, guidance and best practice as well as local housing conditions. </w:t>
            </w:r>
            <w:r w:rsidR="009044B3">
              <w:rPr>
                <w:rFonts w:ascii="Arial" w:hAnsi="Arial" w:cs="Arial"/>
                <w:sz w:val="24"/>
                <w:szCs w:val="24"/>
              </w:rPr>
              <w:t xml:space="preserve"> </w:t>
            </w:r>
            <w:r w:rsidR="00297E2A">
              <w:rPr>
                <w:rFonts w:ascii="Arial" w:hAnsi="Arial" w:cs="Arial"/>
                <w:sz w:val="24"/>
                <w:szCs w:val="24"/>
              </w:rPr>
              <w:t xml:space="preserve">The Allocations Scheme and a shorter summary </w:t>
            </w:r>
            <w:r w:rsidR="009044B3">
              <w:rPr>
                <w:rFonts w:ascii="Arial" w:hAnsi="Arial" w:cs="Arial"/>
                <w:sz w:val="24"/>
                <w:szCs w:val="24"/>
              </w:rPr>
              <w:t xml:space="preserve">are both available on the Council’s website. </w:t>
            </w:r>
          </w:p>
        </w:tc>
      </w:tr>
      <w:tr w:rsidR="00736DDB" w:rsidRPr="0065596C" w:rsidTr="00736DDB">
        <w:tc>
          <w:tcPr>
            <w:tcW w:w="675" w:type="dxa"/>
          </w:tcPr>
          <w:p w:rsidR="00736DDB" w:rsidRPr="0065596C" w:rsidRDefault="0065596C" w:rsidP="008A22C6">
            <w:pPr>
              <w:rPr>
                <w:rFonts w:ascii="Arial" w:hAnsi="Arial" w:cs="Arial"/>
                <w:sz w:val="24"/>
                <w:szCs w:val="24"/>
              </w:rPr>
            </w:pPr>
            <w:r w:rsidRPr="0065596C">
              <w:rPr>
                <w:rFonts w:ascii="Arial" w:hAnsi="Arial" w:cs="Arial"/>
                <w:sz w:val="24"/>
                <w:szCs w:val="24"/>
              </w:rPr>
              <w:t>2.</w:t>
            </w:r>
          </w:p>
        </w:tc>
        <w:tc>
          <w:tcPr>
            <w:tcW w:w="8567" w:type="dxa"/>
          </w:tcPr>
          <w:p w:rsidR="00736DDB" w:rsidRPr="0065596C" w:rsidRDefault="0065596C" w:rsidP="003A76EC">
            <w:pPr>
              <w:rPr>
                <w:rFonts w:ascii="Arial" w:hAnsi="Arial" w:cs="Arial"/>
                <w:sz w:val="24"/>
                <w:szCs w:val="24"/>
              </w:rPr>
            </w:pPr>
            <w:r>
              <w:rPr>
                <w:rFonts w:ascii="Arial" w:hAnsi="Arial" w:cs="Arial"/>
                <w:sz w:val="24"/>
                <w:szCs w:val="24"/>
              </w:rPr>
              <w:t>The Allocations Scheme uses Choice-Based Lettings (CBL) to advertise the limited amount of properties</w:t>
            </w:r>
            <w:r w:rsidRPr="0065596C">
              <w:rPr>
                <w:rFonts w:ascii="Arial" w:hAnsi="Arial" w:cs="Arial"/>
                <w:sz w:val="24"/>
                <w:szCs w:val="24"/>
              </w:rPr>
              <w:t xml:space="preserve"> becoming available each year in Oxford</w:t>
            </w:r>
            <w:r w:rsidR="00FA0DC2">
              <w:rPr>
                <w:rFonts w:ascii="Arial" w:hAnsi="Arial" w:cs="Arial"/>
                <w:sz w:val="24"/>
                <w:szCs w:val="24"/>
              </w:rPr>
              <w:t>.  F</w:t>
            </w:r>
            <w:r>
              <w:rPr>
                <w:rFonts w:ascii="Arial" w:hAnsi="Arial" w:cs="Arial"/>
                <w:sz w:val="24"/>
                <w:szCs w:val="24"/>
              </w:rPr>
              <w:t xml:space="preserve">or those </w:t>
            </w:r>
            <w:r w:rsidR="00E40554">
              <w:rPr>
                <w:rFonts w:ascii="Arial" w:hAnsi="Arial" w:cs="Arial"/>
                <w:sz w:val="24"/>
                <w:szCs w:val="24"/>
              </w:rPr>
              <w:t xml:space="preserve">who are </w:t>
            </w:r>
            <w:r>
              <w:rPr>
                <w:rFonts w:ascii="Arial" w:hAnsi="Arial" w:cs="Arial"/>
                <w:sz w:val="24"/>
                <w:szCs w:val="24"/>
              </w:rPr>
              <w:t xml:space="preserve">eligible and qualify for inclusion on the Oxford Register for Affordable Housing (ORAH) CBL increases the choice available to most housing applicants (with some restrictions such as those on the Homeless List living in temporary accommodation provided by the Council) but it cannot increase the number of properties becoming available each year.   </w:t>
            </w:r>
          </w:p>
        </w:tc>
      </w:tr>
      <w:tr w:rsidR="00736DDB" w:rsidRPr="0065596C" w:rsidTr="00736DDB">
        <w:tc>
          <w:tcPr>
            <w:tcW w:w="675" w:type="dxa"/>
          </w:tcPr>
          <w:p w:rsidR="00736DDB" w:rsidRPr="0065596C" w:rsidRDefault="0065596C" w:rsidP="008A22C6">
            <w:pPr>
              <w:rPr>
                <w:rFonts w:ascii="Arial" w:hAnsi="Arial" w:cs="Arial"/>
                <w:sz w:val="24"/>
                <w:szCs w:val="24"/>
              </w:rPr>
            </w:pPr>
            <w:r>
              <w:rPr>
                <w:rFonts w:ascii="Arial" w:hAnsi="Arial" w:cs="Arial"/>
                <w:sz w:val="24"/>
                <w:szCs w:val="24"/>
              </w:rPr>
              <w:t xml:space="preserve">3. </w:t>
            </w:r>
          </w:p>
        </w:tc>
        <w:tc>
          <w:tcPr>
            <w:tcW w:w="8567" w:type="dxa"/>
          </w:tcPr>
          <w:p w:rsidR="00A95BEC" w:rsidRDefault="009044B3" w:rsidP="00A95BEC">
            <w:pPr>
              <w:rPr>
                <w:rFonts w:ascii="Arial" w:hAnsi="Arial" w:cs="Arial"/>
                <w:sz w:val="24"/>
                <w:szCs w:val="24"/>
              </w:rPr>
            </w:pPr>
            <w:r>
              <w:rPr>
                <w:rFonts w:ascii="Arial" w:hAnsi="Arial" w:cs="Arial"/>
                <w:sz w:val="24"/>
                <w:szCs w:val="24"/>
              </w:rPr>
              <w:t>When new properties are built or</w:t>
            </w:r>
            <w:r w:rsidR="00306EC9">
              <w:rPr>
                <w:rFonts w:ascii="Arial" w:hAnsi="Arial" w:cs="Arial"/>
                <w:sz w:val="24"/>
                <w:szCs w:val="24"/>
              </w:rPr>
              <w:t xml:space="preserve"> </w:t>
            </w:r>
            <w:r>
              <w:rPr>
                <w:rFonts w:ascii="Arial" w:hAnsi="Arial" w:cs="Arial"/>
                <w:sz w:val="24"/>
                <w:szCs w:val="24"/>
              </w:rPr>
              <w:t xml:space="preserve">existing properties become available to </w:t>
            </w:r>
            <w:r w:rsidR="00E40554">
              <w:rPr>
                <w:rFonts w:ascii="Arial" w:hAnsi="Arial" w:cs="Arial"/>
                <w:sz w:val="24"/>
                <w:szCs w:val="24"/>
              </w:rPr>
              <w:t>re-</w:t>
            </w:r>
            <w:r>
              <w:rPr>
                <w:rFonts w:ascii="Arial" w:hAnsi="Arial" w:cs="Arial"/>
                <w:sz w:val="24"/>
                <w:szCs w:val="24"/>
              </w:rPr>
              <w:t xml:space="preserve">let they are </w:t>
            </w:r>
            <w:r w:rsidR="00A95BEC">
              <w:rPr>
                <w:rFonts w:ascii="Arial" w:hAnsi="Arial" w:cs="Arial"/>
                <w:sz w:val="24"/>
                <w:szCs w:val="24"/>
              </w:rPr>
              <w:t>advertised in a lettings cycle (currently every fortnight).  Housing applicants included on</w:t>
            </w:r>
            <w:r w:rsidR="003A76EC">
              <w:rPr>
                <w:rFonts w:ascii="Arial" w:hAnsi="Arial" w:cs="Arial"/>
                <w:sz w:val="24"/>
                <w:szCs w:val="24"/>
              </w:rPr>
              <w:t xml:space="preserve"> the</w:t>
            </w:r>
            <w:r w:rsidR="00A95BEC">
              <w:rPr>
                <w:rFonts w:ascii="Arial" w:hAnsi="Arial" w:cs="Arial"/>
                <w:sz w:val="24"/>
                <w:szCs w:val="24"/>
              </w:rPr>
              <w:t xml:space="preserve"> housing register can then bid on up to 3 suitable properties during each letting lettings cycle and they are placed on a shortlist for the property.  </w:t>
            </w:r>
            <w:r w:rsidR="00297E2A">
              <w:rPr>
                <w:rFonts w:ascii="Arial" w:hAnsi="Arial" w:cs="Arial"/>
                <w:sz w:val="24"/>
                <w:szCs w:val="24"/>
              </w:rPr>
              <w:t>A</w:t>
            </w:r>
            <w:r w:rsidR="00A95BEC">
              <w:rPr>
                <w:rFonts w:ascii="Arial" w:hAnsi="Arial" w:cs="Arial"/>
                <w:sz w:val="24"/>
                <w:szCs w:val="24"/>
              </w:rPr>
              <w:t>fter the lettings cycle closes a final shortlist is created listing all the housing applicants who have bid (applied) for the property by priority order taking into account:</w:t>
            </w:r>
          </w:p>
          <w:p w:rsidR="00A95BEC" w:rsidRDefault="00A95BEC" w:rsidP="00A95BEC">
            <w:pPr>
              <w:pStyle w:val="ListParagraph"/>
              <w:numPr>
                <w:ilvl w:val="0"/>
                <w:numId w:val="1"/>
              </w:numPr>
              <w:rPr>
                <w:rFonts w:ascii="Arial" w:hAnsi="Arial" w:cs="Arial"/>
                <w:sz w:val="24"/>
                <w:szCs w:val="24"/>
              </w:rPr>
            </w:pPr>
            <w:r w:rsidRPr="00A95BEC">
              <w:rPr>
                <w:rFonts w:ascii="Arial" w:hAnsi="Arial" w:cs="Arial"/>
                <w:sz w:val="24"/>
                <w:szCs w:val="24"/>
              </w:rPr>
              <w:t xml:space="preserve">Housing Need Priority Band (a summary of the Housing Need Priority Bands is shown in </w:t>
            </w:r>
            <w:r w:rsidRPr="007D35CA">
              <w:rPr>
                <w:rFonts w:ascii="Arial" w:hAnsi="Arial" w:cs="Arial"/>
                <w:b/>
                <w:sz w:val="24"/>
                <w:szCs w:val="24"/>
              </w:rPr>
              <w:t>Appendix I</w:t>
            </w:r>
            <w:r w:rsidRPr="00A95BEC">
              <w:rPr>
                <w:rFonts w:ascii="Arial" w:hAnsi="Arial" w:cs="Arial"/>
                <w:sz w:val="24"/>
                <w:szCs w:val="24"/>
              </w:rPr>
              <w:t>)</w:t>
            </w:r>
          </w:p>
          <w:p w:rsidR="00A95BEC" w:rsidRDefault="00A95BEC" w:rsidP="00A95BEC">
            <w:pPr>
              <w:pStyle w:val="ListParagraph"/>
              <w:numPr>
                <w:ilvl w:val="0"/>
                <w:numId w:val="1"/>
              </w:numPr>
              <w:rPr>
                <w:rFonts w:ascii="Arial" w:hAnsi="Arial" w:cs="Arial"/>
                <w:sz w:val="24"/>
                <w:szCs w:val="24"/>
              </w:rPr>
            </w:pPr>
            <w:r>
              <w:rPr>
                <w:rFonts w:ascii="Arial" w:hAnsi="Arial" w:cs="Arial"/>
                <w:sz w:val="24"/>
                <w:szCs w:val="24"/>
              </w:rPr>
              <w:t>Housing Need Priority Band Start Date</w:t>
            </w:r>
          </w:p>
          <w:p w:rsidR="00306EC9" w:rsidRPr="00306EC9" w:rsidRDefault="00A95BEC" w:rsidP="00027887">
            <w:pPr>
              <w:pStyle w:val="ListParagraph"/>
              <w:numPr>
                <w:ilvl w:val="0"/>
                <w:numId w:val="1"/>
              </w:numPr>
              <w:rPr>
                <w:rFonts w:ascii="Arial" w:hAnsi="Arial" w:cs="Arial"/>
                <w:sz w:val="24"/>
                <w:szCs w:val="24"/>
              </w:rPr>
            </w:pPr>
            <w:r w:rsidRPr="009044B3">
              <w:rPr>
                <w:rFonts w:ascii="Arial" w:hAnsi="Arial" w:cs="Arial"/>
                <w:sz w:val="24"/>
                <w:szCs w:val="24"/>
              </w:rPr>
              <w:t>Any other preferences on the advert – for example</w:t>
            </w:r>
            <w:r w:rsidR="003A76EC">
              <w:rPr>
                <w:rFonts w:ascii="Arial" w:hAnsi="Arial" w:cs="Arial"/>
                <w:sz w:val="24"/>
                <w:szCs w:val="24"/>
              </w:rPr>
              <w:t xml:space="preserve">, preference to the General Register List, Transfer List or </w:t>
            </w:r>
            <w:r w:rsidR="00027887">
              <w:rPr>
                <w:rFonts w:ascii="Arial" w:hAnsi="Arial" w:cs="Arial"/>
                <w:sz w:val="24"/>
                <w:szCs w:val="24"/>
              </w:rPr>
              <w:t xml:space="preserve">Homeless List </w:t>
            </w:r>
            <w:r w:rsidR="003A76EC">
              <w:rPr>
                <w:rFonts w:ascii="Arial" w:hAnsi="Arial" w:cs="Arial"/>
                <w:sz w:val="24"/>
                <w:szCs w:val="24"/>
              </w:rPr>
              <w:t xml:space="preserve">if the property has been advertised with priority to applicant’s to one of these lists. Or </w:t>
            </w:r>
            <w:r w:rsidRPr="009044B3">
              <w:rPr>
                <w:rFonts w:ascii="Arial" w:hAnsi="Arial" w:cs="Arial"/>
                <w:sz w:val="24"/>
                <w:szCs w:val="24"/>
              </w:rPr>
              <w:t xml:space="preserve">if a property is on the ground floor </w:t>
            </w:r>
            <w:r w:rsidR="009044B3" w:rsidRPr="009044B3">
              <w:rPr>
                <w:rFonts w:ascii="Arial" w:hAnsi="Arial" w:cs="Arial"/>
                <w:sz w:val="24"/>
                <w:szCs w:val="24"/>
              </w:rPr>
              <w:t>and/</w:t>
            </w:r>
            <w:r w:rsidRPr="009044B3">
              <w:rPr>
                <w:rFonts w:ascii="Arial" w:hAnsi="Arial" w:cs="Arial"/>
                <w:sz w:val="24"/>
                <w:szCs w:val="24"/>
              </w:rPr>
              <w:t xml:space="preserve">or </w:t>
            </w:r>
            <w:r w:rsidR="009044B3" w:rsidRPr="009044B3">
              <w:rPr>
                <w:rFonts w:ascii="Arial" w:hAnsi="Arial" w:cs="Arial"/>
                <w:sz w:val="24"/>
                <w:szCs w:val="24"/>
              </w:rPr>
              <w:t xml:space="preserve">has </w:t>
            </w:r>
            <w:r w:rsidRPr="009044B3">
              <w:rPr>
                <w:rFonts w:ascii="Arial" w:hAnsi="Arial" w:cs="Arial"/>
                <w:sz w:val="24"/>
                <w:szCs w:val="24"/>
              </w:rPr>
              <w:t>adapt</w:t>
            </w:r>
            <w:r w:rsidR="00FA0DC2">
              <w:rPr>
                <w:rFonts w:ascii="Arial" w:hAnsi="Arial" w:cs="Arial"/>
                <w:sz w:val="24"/>
                <w:szCs w:val="24"/>
              </w:rPr>
              <w:t>ations</w:t>
            </w:r>
            <w:r w:rsidRPr="009044B3">
              <w:rPr>
                <w:rFonts w:ascii="Arial" w:hAnsi="Arial" w:cs="Arial"/>
                <w:sz w:val="24"/>
                <w:szCs w:val="24"/>
              </w:rPr>
              <w:t xml:space="preserve"> suitable for a person with a disability priority </w:t>
            </w:r>
            <w:r w:rsidR="009044B3" w:rsidRPr="009044B3">
              <w:rPr>
                <w:rFonts w:ascii="Arial" w:hAnsi="Arial" w:cs="Arial"/>
                <w:sz w:val="24"/>
                <w:szCs w:val="24"/>
              </w:rPr>
              <w:t xml:space="preserve">will </w:t>
            </w:r>
            <w:r w:rsidR="00CE224C">
              <w:rPr>
                <w:rFonts w:ascii="Arial" w:hAnsi="Arial" w:cs="Arial"/>
                <w:sz w:val="24"/>
                <w:szCs w:val="24"/>
              </w:rPr>
              <w:t xml:space="preserve">be </w:t>
            </w:r>
            <w:r w:rsidR="009044B3" w:rsidRPr="009044B3">
              <w:rPr>
                <w:rFonts w:ascii="Arial" w:hAnsi="Arial" w:cs="Arial"/>
                <w:sz w:val="24"/>
                <w:szCs w:val="24"/>
              </w:rPr>
              <w:t>given to those assessed as requir</w:t>
            </w:r>
            <w:r w:rsidR="00CE224C">
              <w:rPr>
                <w:rFonts w:ascii="Arial" w:hAnsi="Arial" w:cs="Arial"/>
                <w:sz w:val="24"/>
                <w:szCs w:val="24"/>
              </w:rPr>
              <w:t>ing</w:t>
            </w:r>
            <w:r w:rsidR="009044B3" w:rsidRPr="009044B3">
              <w:rPr>
                <w:rFonts w:ascii="Arial" w:hAnsi="Arial" w:cs="Arial"/>
                <w:sz w:val="24"/>
                <w:szCs w:val="24"/>
              </w:rPr>
              <w:t xml:space="preserve"> this type of accommodation</w:t>
            </w:r>
            <w:r>
              <w:rPr>
                <w:rFonts w:ascii="Arial" w:hAnsi="Arial" w:cs="Arial"/>
                <w:sz w:val="24"/>
                <w:szCs w:val="24"/>
              </w:rPr>
              <w:t xml:space="preserve"> </w:t>
            </w:r>
          </w:p>
        </w:tc>
      </w:tr>
      <w:tr w:rsidR="00736DDB" w:rsidRPr="0065596C" w:rsidTr="00736DDB">
        <w:tc>
          <w:tcPr>
            <w:tcW w:w="675" w:type="dxa"/>
          </w:tcPr>
          <w:p w:rsidR="00736DDB" w:rsidRPr="0065596C" w:rsidRDefault="009044B3" w:rsidP="008A22C6">
            <w:pPr>
              <w:rPr>
                <w:rFonts w:ascii="Arial" w:hAnsi="Arial" w:cs="Arial"/>
                <w:sz w:val="24"/>
                <w:szCs w:val="24"/>
              </w:rPr>
            </w:pPr>
            <w:r>
              <w:rPr>
                <w:rFonts w:ascii="Arial" w:hAnsi="Arial" w:cs="Arial"/>
                <w:sz w:val="24"/>
                <w:szCs w:val="24"/>
              </w:rPr>
              <w:t xml:space="preserve">4. </w:t>
            </w:r>
          </w:p>
        </w:tc>
        <w:tc>
          <w:tcPr>
            <w:tcW w:w="8567" w:type="dxa"/>
          </w:tcPr>
          <w:p w:rsidR="00306EC9" w:rsidRPr="00E40554" w:rsidRDefault="00306EC9" w:rsidP="00306EC9">
            <w:pPr>
              <w:rPr>
                <w:rFonts w:ascii="Arial" w:hAnsi="Arial" w:cs="Arial"/>
                <w:sz w:val="24"/>
                <w:szCs w:val="24"/>
              </w:rPr>
            </w:pPr>
            <w:r w:rsidRPr="00E40554">
              <w:rPr>
                <w:rFonts w:ascii="Arial" w:hAnsi="Arial" w:cs="Arial"/>
                <w:sz w:val="24"/>
                <w:szCs w:val="24"/>
              </w:rPr>
              <w:t xml:space="preserve">Where a housing applicant bids for a property and shortlists for </w:t>
            </w:r>
            <w:r w:rsidR="00C95D36">
              <w:rPr>
                <w:rFonts w:ascii="Arial" w:hAnsi="Arial" w:cs="Arial"/>
                <w:sz w:val="24"/>
                <w:szCs w:val="24"/>
              </w:rPr>
              <w:t xml:space="preserve">a </w:t>
            </w:r>
            <w:r w:rsidRPr="00E40554">
              <w:rPr>
                <w:rFonts w:ascii="Arial" w:hAnsi="Arial" w:cs="Arial"/>
                <w:sz w:val="24"/>
                <w:szCs w:val="24"/>
              </w:rPr>
              <w:t>potential offer of housing</w:t>
            </w:r>
            <w:r w:rsidR="003A76EC">
              <w:rPr>
                <w:rFonts w:ascii="Arial" w:hAnsi="Arial" w:cs="Arial"/>
                <w:sz w:val="24"/>
                <w:szCs w:val="24"/>
              </w:rPr>
              <w:t>,</w:t>
            </w:r>
            <w:r w:rsidRPr="00E40554">
              <w:rPr>
                <w:rFonts w:ascii="Arial" w:hAnsi="Arial" w:cs="Arial"/>
                <w:sz w:val="24"/>
                <w:szCs w:val="24"/>
              </w:rPr>
              <w:t xml:space="preserve"> checks are made by </w:t>
            </w:r>
            <w:r w:rsidR="007D35CA">
              <w:rPr>
                <w:rFonts w:ascii="Arial" w:hAnsi="Arial" w:cs="Arial"/>
                <w:sz w:val="24"/>
                <w:szCs w:val="24"/>
              </w:rPr>
              <w:t xml:space="preserve">the </w:t>
            </w:r>
            <w:r w:rsidRPr="00E40554">
              <w:rPr>
                <w:rFonts w:ascii="Arial" w:hAnsi="Arial" w:cs="Arial"/>
                <w:sz w:val="24"/>
                <w:szCs w:val="24"/>
              </w:rPr>
              <w:t xml:space="preserve">Allocations </w:t>
            </w:r>
            <w:r w:rsidR="007D35CA">
              <w:rPr>
                <w:rFonts w:ascii="Arial" w:hAnsi="Arial" w:cs="Arial"/>
                <w:sz w:val="24"/>
                <w:szCs w:val="24"/>
              </w:rPr>
              <w:t>Team</w:t>
            </w:r>
            <w:r w:rsidRPr="00E40554">
              <w:rPr>
                <w:rFonts w:ascii="Arial" w:hAnsi="Arial" w:cs="Arial"/>
                <w:sz w:val="24"/>
                <w:szCs w:val="24"/>
              </w:rPr>
              <w:t xml:space="preserve"> to determine whether the </w:t>
            </w:r>
            <w:r w:rsidR="00E40554">
              <w:rPr>
                <w:rFonts w:ascii="Arial" w:hAnsi="Arial" w:cs="Arial"/>
                <w:sz w:val="24"/>
                <w:szCs w:val="24"/>
              </w:rPr>
              <w:t xml:space="preserve">applicant </w:t>
            </w:r>
            <w:r w:rsidRPr="00E40554">
              <w:rPr>
                <w:rFonts w:ascii="Arial" w:hAnsi="Arial" w:cs="Arial"/>
                <w:sz w:val="24"/>
                <w:szCs w:val="24"/>
              </w:rPr>
              <w:t xml:space="preserve">should be considered for an offer of housing or not.   </w:t>
            </w:r>
          </w:p>
          <w:p w:rsidR="00306EC9" w:rsidRPr="00E40554" w:rsidRDefault="00306EC9" w:rsidP="00306EC9">
            <w:pPr>
              <w:rPr>
                <w:rFonts w:ascii="Arial" w:hAnsi="Arial" w:cs="Arial"/>
                <w:sz w:val="24"/>
                <w:szCs w:val="24"/>
              </w:rPr>
            </w:pPr>
            <w:r w:rsidRPr="00E40554">
              <w:rPr>
                <w:rFonts w:ascii="Arial" w:hAnsi="Arial" w:cs="Arial"/>
                <w:sz w:val="24"/>
                <w:szCs w:val="24"/>
              </w:rPr>
              <w:t>These checks include:</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Eligibility for housing</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Housing Need Priority Band/Reason</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Household details</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Registration Date/Priority Band Start Date</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The size of property they are eligible for</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lastRenderedPageBreak/>
              <w:t>Tenancy issues and whether they are suitable for an offer or can only be considered for certain properties or whether they need support and if so whether it is place</w:t>
            </w:r>
          </w:p>
          <w:p w:rsidR="00306EC9" w:rsidRPr="00E40554" w:rsidRDefault="00306EC9" w:rsidP="00306EC9">
            <w:pPr>
              <w:pStyle w:val="ListParagraph"/>
              <w:numPr>
                <w:ilvl w:val="0"/>
                <w:numId w:val="2"/>
              </w:numPr>
              <w:rPr>
                <w:rFonts w:ascii="Arial" w:hAnsi="Arial" w:cs="Arial"/>
                <w:sz w:val="24"/>
                <w:szCs w:val="24"/>
              </w:rPr>
            </w:pPr>
            <w:r w:rsidRPr="00E40554">
              <w:rPr>
                <w:rFonts w:ascii="Arial" w:hAnsi="Arial" w:cs="Arial"/>
                <w:sz w:val="24"/>
                <w:szCs w:val="24"/>
              </w:rPr>
              <w:t>The property is considered suitable for their housing requirements or could be adapted if required</w:t>
            </w:r>
          </w:p>
          <w:p w:rsidR="007D35CA" w:rsidRDefault="00306EC9" w:rsidP="007D35CA">
            <w:pPr>
              <w:rPr>
                <w:rFonts w:ascii="Arial" w:hAnsi="Arial" w:cs="Arial"/>
                <w:sz w:val="24"/>
                <w:szCs w:val="24"/>
              </w:rPr>
            </w:pPr>
            <w:r w:rsidRPr="00E40554">
              <w:rPr>
                <w:rFonts w:ascii="Arial" w:hAnsi="Arial" w:cs="Arial"/>
                <w:sz w:val="24"/>
                <w:szCs w:val="24"/>
              </w:rPr>
              <w:t>If the housing applicant</w:t>
            </w:r>
            <w:r w:rsidR="00CE224C" w:rsidRPr="00E40554">
              <w:rPr>
                <w:rFonts w:ascii="Arial" w:hAnsi="Arial" w:cs="Arial"/>
                <w:sz w:val="24"/>
                <w:szCs w:val="24"/>
              </w:rPr>
              <w:t>’</w:t>
            </w:r>
            <w:r w:rsidRPr="00E40554">
              <w:rPr>
                <w:rFonts w:ascii="Arial" w:hAnsi="Arial" w:cs="Arial"/>
                <w:sz w:val="24"/>
                <w:szCs w:val="24"/>
              </w:rPr>
              <w:t xml:space="preserve">s details are correct </w:t>
            </w:r>
            <w:r w:rsidR="007D35CA">
              <w:rPr>
                <w:rFonts w:ascii="Arial" w:hAnsi="Arial" w:cs="Arial"/>
                <w:sz w:val="24"/>
                <w:szCs w:val="24"/>
              </w:rPr>
              <w:t xml:space="preserve">and they are considered suitable for an offer and the property is considered suitable for their housing requirements they will only then be made an offer. Before this is done they will </w:t>
            </w:r>
            <w:r w:rsidR="00FA0DC2">
              <w:rPr>
                <w:rFonts w:ascii="Arial" w:hAnsi="Arial" w:cs="Arial"/>
                <w:sz w:val="24"/>
                <w:szCs w:val="24"/>
              </w:rPr>
              <w:t xml:space="preserve">be </w:t>
            </w:r>
            <w:r w:rsidR="007D35CA">
              <w:rPr>
                <w:rFonts w:ascii="Arial" w:hAnsi="Arial" w:cs="Arial"/>
                <w:sz w:val="24"/>
                <w:szCs w:val="24"/>
              </w:rPr>
              <w:t xml:space="preserve">contacted where possible to discuss the property details and location to double check they are definitely interested in the property to avoid wasting time if they state they are no longer interested in the property. </w:t>
            </w:r>
          </w:p>
          <w:p w:rsidR="00297E2A" w:rsidRPr="0065596C" w:rsidRDefault="00FA0DC2" w:rsidP="00C63354">
            <w:pPr>
              <w:rPr>
                <w:rFonts w:ascii="Arial" w:hAnsi="Arial" w:cs="Arial"/>
                <w:sz w:val="24"/>
                <w:szCs w:val="24"/>
              </w:rPr>
            </w:pPr>
            <w:r>
              <w:rPr>
                <w:rFonts w:ascii="Arial" w:hAnsi="Arial" w:cs="Arial"/>
                <w:sz w:val="24"/>
                <w:szCs w:val="24"/>
              </w:rPr>
              <w:t xml:space="preserve">Customers who confirm they are interested in a property are sent a written offer and </w:t>
            </w:r>
            <w:r w:rsidR="00C63354">
              <w:rPr>
                <w:rFonts w:ascii="Arial" w:hAnsi="Arial" w:cs="Arial"/>
                <w:sz w:val="24"/>
                <w:szCs w:val="24"/>
              </w:rPr>
              <w:t xml:space="preserve">are then contacted to arrange a viewing once the property is ready so that they can make a final decision about </w:t>
            </w:r>
            <w:r w:rsidR="007D35CA">
              <w:rPr>
                <w:rFonts w:ascii="Arial" w:hAnsi="Arial" w:cs="Arial"/>
                <w:sz w:val="24"/>
                <w:szCs w:val="24"/>
              </w:rPr>
              <w:t xml:space="preserve">whether they wish to accept or refuse the offer. </w:t>
            </w:r>
            <w:r w:rsidR="00306EC9">
              <w:rPr>
                <w:rFonts w:ascii="Arial" w:hAnsi="Arial" w:cs="Arial"/>
              </w:rPr>
              <w:t xml:space="preserve"> </w:t>
            </w:r>
          </w:p>
        </w:tc>
      </w:tr>
      <w:tr w:rsidR="00D56715" w:rsidRPr="0065596C" w:rsidTr="00736DDB">
        <w:tc>
          <w:tcPr>
            <w:tcW w:w="675" w:type="dxa"/>
          </w:tcPr>
          <w:p w:rsidR="00D56715" w:rsidRDefault="00F54174" w:rsidP="00F54174">
            <w:pPr>
              <w:rPr>
                <w:rFonts w:ascii="Arial" w:hAnsi="Arial" w:cs="Arial"/>
                <w:sz w:val="24"/>
                <w:szCs w:val="24"/>
              </w:rPr>
            </w:pPr>
            <w:r>
              <w:rPr>
                <w:rFonts w:ascii="Arial" w:hAnsi="Arial" w:cs="Arial"/>
                <w:sz w:val="24"/>
                <w:szCs w:val="24"/>
              </w:rPr>
              <w:lastRenderedPageBreak/>
              <w:t>5</w:t>
            </w:r>
            <w:r w:rsidR="00FB4281">
              <w:rPr>
                <w:rFonts w:ascii="Arial" w:hAnsi="Arial" w:cs="Arial"/>
                <w:sz w:val="24"/>
                <w:szCs w:val="24"/>
              </w:rPr>
              <w:t>.</w:t>
            </w:r>
          </w:p>
        </w:tc>
        <w:tc>
          <w:tcPr>
            <w:tcW w:w="8567" w:type="dxa"/>
          </w:tcPr>
          <w:p w:rsidR="00D56715" w:rsidRDefault="00D56715" w:rsidP="00306EC9">
            <w:pPr>
              <w:rPr>
                <w:rFonts w:ascii="Arial" w:hAnsi="Arial" w:cs="Arial"/>
                <w:b/>
                <w:sz w:val="24"/>
                <w:szCs w:val="24"/>
              </w:rPr>
            </w:pPr>
            <w:r w:rsidRPr="00D56715">
              <w:rPr>
                <w:rFonts w:ascii="Arial" w:hAnsi="Arial" w:cs="Arial"/>
                <w:b/>
                <w:sz w:val="24"/>
                <w:szCs w:val="24"/>
              </w:rPr>
              <w:t>Offers &amp; Refusals</w:t>
            </w:r>
          </w:p>
          <w:p w:rsidR="006446E0" w:rsidRDefault="006446E0" w:rsidP="00306EC9">
            <w:pPr>
              <w:rPr>
                <w:rFonts w:ascii="Arial" w:hAnsi="Arial" w:cs="Arial"/>
                <w:sz w:val="24"/>
                <w:szCs w:val="24"/>
              </w:rPr>
            </w:pPr>
            <w:r>
              <w:rPr>
                <w:rFonts w:ascii="Arial" w:hAnsi="Arial" w:cs="Arial"/>
                <w:sz w:val="24"/>
                <w:szCs w:val="24"/>
              </w:rPr>
              <w:t>The Allocations Team made 428 offers of housing f</w:t>
            </w:r>
            <w:r w:rsidR="007038DF">
              <w:rPr>
                <w:rFonts w:ascii="Arial" w:hAnsi="Arial" w:cs="Arial"/>
                <w:sz w:val="24"/>
                <w:szCs w:val="24"/>
              </w:rPr>
              <w:t>rom 1/4 to 31/10/15</w:t>
            </w:r>
            <w:r>
              <w:rPr>
                <w:rFonts w:ascii="Arial" w:hAnsi="Arial" w:cs="Arial"/>
                <w:sz w:val="24"/>
                <w:szCs w:val="24"/>
              </w:rPr>
              <w:t xml:space="preserve">, 364 offers were accepted and </w:t>
            </w:r>
            <w:r w:rsidR="007038DF">
              <w:rPr>
                <w:rFonts w:ascii="Arial" w:hAnsi="Arial" w:cs="Arial"/>
                <w:sz w:val="24"/>
                <w:szCs w:val="24"/>
              </w:rPr>
              <w:t xml:space="preserve">64 </w:t>
            </w:r>
            <w:r w:rsidR="00165DD7">
              <w:rPr>
                <w:rFonts w:ascii="Arial" w:hAnsi="Arial" w:cs="Arial"/>
                <w:sz w:val="24"/>
                <w:szCs w:val="24"/>
              </w:rPr>
              <w:t xml:space="preserve">were </w:t>
            </w:r>
            <w:r w:rsidR="007038DF">
              <w:rPr>
                <w:rFonts w:ascii="Arial" w:hAnsi="Arial" w:cs="Arial"/>
                <w:sz w:val="24"/>
                <w:szCs w:val="24"/>
              </w:rPr>
              <w:t xml:space="preserve">refused. </w:t>
            </w:r>
            <w:r w:rsidR="00165DD7">
              <w:rPr>
                <w:rFonts w:ascii="Arial" w:hAnsi="Arial" w:cs="Arial"/>
                <w:sz w:val="24"/>
                <w:szCs w:val="24"/>
              </w:rPr>
              <w:t xml:space="preserve"> The Allocations Team seeks to minimise the number of refused offers balanced with ensuring those in housing need are given the opportunity to view properties and move to more suitable accommodation where possible. </w:t>
            </w:r>
            <w:r w:rsidR="00655FF8">
              <w:rPr>
                <w:rFonts w:ascii="Arial" w:hAnsi="Arial" w:cs="Arial"/>
                <w:sz w:val="24"/>
                <w:szCs w:val="24"/>
              </w:rPr>
              <w:t xml:space="preserve"> Where a housing applicant is </w:t>
            </w:r>
            <w:r w:rsidR="00C54912">
              <w:rPr>
                <w:rFonts w:ascii="Arial" w:hAnsi="Arial" w:cs="Arial"/>
                <w:sz w:val="24"/>
                <w:szCs w:val="24"/>
              </w:rPr>
              <w:t xml:space="preserve">made an offer and </w:t>
            </w:r>
            <w:r w:rsidR="00655FF8">
              <w:rPr>
                <w:rFonts w:ascii="Arial" w:hAnsi="Arial" w:cs="Arial"/>
                <w:sz w:val="24"/>
                <w:szCs w:val="24"/>
              </w:rPr>
              <w:t>refuses with good reason – for example if after viewing the property it is found not</w:t>
            </w:r>
            <w:r w:rsidR="00C54912">
              <w:rPr>
                <w:rFonts w:ascii="Arial" w:hAnsi="Arial" w:cs="Arial"/>
                <w:sz w:val="24"/>
                <w:szCs w:val="24"/>
              </w:rPr>
              <w:t xml:space="preserve"> to</w:t>
            </w:r>
            <w:r w:rsidR="00655FF8">
              <w:rPr>
                <w:rFonts w:ascii="Arial" w:hAnsi="Arial" w:cs="Arial"/>
                <w:sz w:val="24"/>
                <w:szCs w:val="24"/>
              </w:rPr>
              <w:t xml:space="preserve"> be suitable for their housing requirements because of their health needs they are not penalised and can continue to bid for future properties.  Furthermore, Council Tenants seeking to downsize are encouraged to bid and are not penalised if after they view a property they decided to refuse an offer, in order to maximise the number of family properties becoming available to re-let to larger families in housing need. </w:t>
            </w:r>
            <w:r w:rsidR="00655FF8" w:rsidDel="00655FF8">
              <w:rPr>
                <w:rFonts w:ascii="Arial" w:hAnsi="Arial" w:cs="Arial"/>
                <w:sz w:val="24"/>
                <w:szCs w:val="24"/>
              </w:rPr>
              <w:t xml:space="preserve">  </w:t>
            </w:r>
            <w:r w:rsidR="00165DD7">
              <w:rPr>
                <w:rFonts w:ascii="Arial" w:hAnsi="Arial" w:cs="Arial"/>
                <w:sz w:val="24"/>
                <w:szCs w:val="24"/>
              </w:rPr>
              <w:t xml:space="preserve"> </w:t>
            </w:r>
          </w:p>
          <w:p w:rsidR="006446E0" w:rsidRDefault="006446E0" w:rsidP="006446E0">
            <w:pPr>
              <w:rPr>
                <w:rFonts w:ascii="Arial" w:hAnsi="Arial" w:cs="Arial"/>
                <w:sz w:val="24"/>
                <w:szCs w:val="24"/>
              </w:rPr>
            </w:pPr>
            <w:r w:rsidRPr="006446E0">
              <w:rPr>
                <w:rFonts w:ascii="Arial" w:hAnsi="Arial" w:cs="Arial"/>
                <w:sz w:val="24"/>
                <w:szCs w:val="24"/>
              </w:rPr>
              <w:t>If a housing applicant is offered a property and refuses without good reason a penalty may be applied. Unreasonable refusals delay other applicants in housing need moving into a property, cost the Council and other landlords in lost staff time and can result in the landlord losing rental income from having longer void periods. If a housing applicant’s reason for refusing is considered reasonable by the Allocations Team they will be able to continue to bid</w:t>
            </w:r>
            <w:r w:rsidR="00C63354">
              <w:rPr>
                <w:rFonts w:ascii="Arial" w:hAnsi="Arial" w:cs="Arial"/>
                <w:sz w:val="24"/>
                <w:szCs w:val="24"/>
              </w:rPr>
              <w:t>.</w:t>
            </w:r>
            <w:r w:rsidRPr="006446E0">
              <w:rPr>
                <w:rFonts w:ascii="Arial" w:hAnsi="Arial" w:cs="Arial"/>
                <w:sz w:val="24"/>
                <w:szCs w:val="24"/>
              </w:rPr>
              <w:t xml:space="preserve"> </w:t>
            </w:r>
          </w:p>
          <w:p w:rsidR="006446E0" w:rsidRDefault="006446E0" w:rsidP="006446E0">
            <w:pPr>
              <w:pStyle w:val="Default"/>
            </w:pPr>
            <w:r w:rsidRPr="006446E0">
              <w:t xml:space="preserve">If a homeless applicant refuses a suitable offer without good reason the Council will no longer have a duty to accommodate them and ask them to leave their temporary accommodation and to resolve their housing situation themselves. If the applicant does not move out the Council will take action to take possession of the property. </w:t>
            </w:r>
          </w:p>
          <w:p w:rsidR="006446E0" w:rsidRPr="006446E0" w:rsidRDefault="006446E0" w:rsidP="006446E0">
            <w:pPr>
              <w:pStyle w:val="Default"/>
            </w:pPr>
          </w:p>
          <w:p w:rsidR="00D56715" w:rsidRDefault="006446E0" w:rsidP="006446E0">
            <w:pPr>
              <w:rPr>
                <w:rFonts w:ascii="Arial" w:hAnsi="Arial" w:cs="Arial"/>
                <w:sz w:val="24"/>
                <w:szCs w:val="24"/>
              </w:rPr>
            </w:pPr>
            <w:r w:rsidRPr="006446E0">
              <w:rPr>
                <w:rFonts w:ascii="Arial" w:hAnsi="Arial" w:cs="Arial"/>
                <w:sz w:val="24"/>
                <w:szCs w:val="24"/>
              </w:rPr>
              <w:lastRenderedPageBreak/>
              <w:t>Applicants on the General Register or Transfer Lists who are considered to have unreasonably refused two suitable offers of accommodation within the last 12 months will be suspended from bidding for 12 months. With the exception of tenants on the Transfer List occupying a property suitable for a family and seeking to downsize to a smaller property. Other exceptions may also be made on a case by case basis by the Allocations Manager.</w:t>
            </w:r>
          </w:p>
          <w:p w:rsidR="006446E0" w:rsidRPr="00E40554" w:rsidRDefault="006446E0" w:rsidP="00165DD7">
            <w:pPr>
              <w:rPr>
                <w:rFonts w:ascii="Arial" w:hAnsi="Arial" w:cs="Arial"/>
                <w:sz w:val="24"/>
                <w:szCs w:val="24"/>
              </w:rPr>
            </w:pPr>
            <w:r w:rsidRPr="000C2D97">
              <w:rPr>
                <w:rFonts w:ascii="Arial" w:hAnsi="Arial" w:cs="Arial"/>
                <w:b/>
                <w:sz w:val="24"/>
                <w:szCs w:val="24"/>
              </w:rPr>
              <w:t>Appendix</w:t>
            </w:r>
            <w:r w:rsidR="000C2D97" w:rsidRPr="000C2D97">
              <w:rPr>
                <w:rFonts w:ascii="Arial" w:hAnsi="Arial" w:cs="Arial"/>
                <w:b/>
                <w:sz w:val="24"/>
                <w:szCs w:val="24"/>
              </w:rPr>
              <w:t xml:space="preserve"> II</w:t>
            </w:r>
            <w:r>
              <w:rPr>
                <w:rFonts w:ascii="Arial" w:hAnsi="Arial" w:cs="Arial"/>
                <w:sz w:val="24"/>
                <w:szCs w:val="24"/>
              </w:rPr>
              <w:t xml:space="preserve"> shows a breakdown of </w:t>
            </w:r>
            <w:r w:rsidR="000C2D97">
              <w:rPr>
                <w:rFonts w:ascii="Arial" w:hAnsi="Arial" w:cs="Arial"/>
                <w:sz w:val="24"/>
                <w:szCs w:val="24"/>
              </w:rPr>
              <w:t xml:space="preserve">family and non-family properties let from </w:t>
            </w:r>
            <w:r>
              <w:rPr>
                <w:rFonts w:ascii="Arial" w:hAnsi="Arial" w:cs="Arial"/>
                <w:sz w:val="24"/>
                <w:szCs w:val="24"/>
              </w:rPr>
              <w:t xml:space="preserve">1/4 to 31/10/15. </w:t>
            </w:r>
          </w:p>
        </w:tc>
      </w:tr>
      <w:tr w:rsidR="00736DDB" w:rsidRPr="0065596C" w:rsidTr="0021262C">
        <w:trPr>
          <w:trHeight w:val="6015"/>
        </w:trPr>
        <w:tc>
          <w:tcPr>
            <w:tcW w:w="675" w:type="dxa"/>
          </w:tcPr>
          <w:p w:rsidR="00736DDB" w:rsidRPr="0065596C" w:rsidRDefault="00376DD8" w:rsidP="008A22C6">
            <w:pPr>
              <w:rPr>
                <w:rFonts w:ascii="Arial" w:hAnsi="Arial" w:cs="Arial"/>
                <w:sz w:val="24"/>
                <w:szCs w:val="24"/>
              </w:rPr>
            </w:pPr>
            <w:r>
              <w:rPr>
                <w:rFonts w:ascii="Arial" w:hAnsi="Arial" w:cs="Arial"/>
                <w:sz w:val="24"/>
                <w:szCs w:val="24"/>
              </w:rPr>
              <w:lastRenderedPageBreak/>
              <w:t>6.</w:t>
            </w:r>
          </w:p>
        </w:tc>
        <w:tc>
          <w:tcPr>
            <w:tcW w:w="8567" w:type="dxa"/>
          </w:tcPr>
          <w:p w:rsidR="00736DDB" w:rsidRPr="00E40554" w:rsidRDefault="00CE224C" w:rsidP="008A22C6">
            <w:pPr>
              <w:rPr>
                <w:rFonts w:ascii="Arial" w:hAnsi="Arial" w:cs="Arial"/>
                <w:b/>
                <w:sz w:val="24"/>
                <w:szCs w:val="24"/>
              </w:rPr>
            </w:pPr>
            <w:r w:rsidRPr="00E40554">
              <w:rPr>
                <w:rFonts w:ascii="Arial" w:hAnsi="Arial" w:cs="Arial"/>
                <w:b/>
                <w:sz w:val="24"/>
                <w:szCs w:val="24"/>
              </w:rPr>
              <w:t>Choice-Based Lettings Cycles.</w:t>
            </w:r>
          </w:p>
          <w:p w:rsidR="0021262C" w:rsidRDefault="00CE224C" w:rsidP="008A22C6">
            <w:pPr>
              <w:rPr>
                <w:rFonts w:ascii="Arial" w:hAnsi="Arial" w:cs="Arial"/>
                <w:sz w:val="24"/>
                <w:szCs w:val="24"/>
              </w:rPr>
            </w:pPr>
            <w:r>
              <w:rPr>
                <w:rFonts w:ascii="Arial" w:hAnsi="Arial" w:cs="Arial"/>
                <w:sz w:val="24"/>
                <w:szCs w:val="24"/>
              </w:rPr>
              <w:t>CBL lettings cycles currently start fortnightly and last for 13 days. They start on a Tuesday and end 13 days later on a Monday</w:t>
            </w:r>
            <w:r w:rsidR="0021262C">
              <w:rPr>
                <w:rFonts w:ascii="Arial" w:hAnsi="Arial" w:cs="Arial"/>
                <w:sz w:val="24"/>
                <w:szCs w:val="24"/>
              </w:rPr>
              <w:t xml:space="preserve">. </w:t>
            </w:r>
            <w:r w:rsidR="00FB30A5">
              <w:rPr>
                <w:rFonts w:ascii="Arial" w:hAnsi="Arial" w:cs="Arial"/>
                <w:sz w:val="24"/>
                <w:szCs w:val="24"/>
              </w:rPr>
              <w:t xml:space="preserve"> The last 3 months of lettings cycles are show below. </w:t>
            </w:r>
          </w:p>
          <w:tbl>
            <w:tblPr>
              <w:tblStyle w:val="TableGrid"/>
              <w:tblW w:w="0" w:type="auto"/>
              <w:tblLook w:val="04A0" w:firstRow="1" w:lastRow="0" w:firstColumn="1" w:lastColumn="0" w:noHBand="0" w:noVBand="1"/>
            </w:tblPr>
            <w:tblGrid>
              <w:gridCol w:w="3289"/>
              <w:gridCol w:w="3360"/>
            </w:tblGrid>
            <w:tr w:rsidR="0021262C" w:rsidTr="00D56715">
              <w:tc>
                <w:tcPr>
                  <w:tcW w:w="3289" w:type="dxa"/>
                </w:tcPr>
                <w:p w:rsidR="0021262C" w:rsidRPr="006A19E4" w:rsidRDefault="0021262C" w:rsidP="008A22C6">
                  <w:pPr>
                    <w:rPr>
                      <w:rFonts w:ascii="Arial" w:hAnsi="Arial" w:cs="Arial"/>
                      <w:b/>
                      <w:sz w:val="24"/>
                      <w:szCs w:val="24"/>
                    </w:rPr>
                  </w:pPr>
                  <w:r w:rsidRPr="006A19E4">
                    <w:rPr>
                      <w:rFonts w:ascii="Arial" w:hAnsi="Arial" w:cs="Arial"/>
                      <w:b/>
                      <w:sz w:val="24"/>
                      <w:szCs w:val="24"/>
                    </w:rPr>
                    <w:t>Start of Lettings Cycle</w:t>
                  </w:r>
                </w:p>
              </w:tc>
              <w:tc>
                <w:tcPr>
                  <w:tcW w:w="3360" w:type="dxa"/>
                </w:tcPr>
                <w:p w:rsidR="0021262C" w:rsidRPr="006A19E4" w:rsidRDefault="0021262C" w:rsidP="008A22C6">
                  <w:pPr>
                    <w:rPr>
                      <w:rFonts w:ascii="Arial" w:hAnsi="Arial" w:cs="Arial"/>
                      <w:b/>
                      <w:sz w:val="24"/>
                      <w:szCs w:val="24"/>
                    </w:rPr>
                  </w:pPr>
                  <w:r w:rsidRPr="006A19E4">
                    <w:rPr>
                      <w:rFonts w:ascii="Arial" w:hAnsi="Arial" w:cs="Arial"/>
                      <w:b/>
                      <w:sz w:val="24"/>
                      <w:szCs w:val="24"/>
                    </w:rPr>
                    <w:t>End of Lettings Cycle</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 xml:space="preserve">12/8 </w:t>
                  </w:r>
                </w:p>
              </w:tc>
              <w:tc>
                <w:tcPr>
                  <w:tcW w:w="3360" w:type="dxa"/>
                </w:tcPr>
                <w:p w:rsidR="0021262C" w:rsidRDefault="0021262C" w:rsidP="008A22C6">
                  <w:pPr>
                    <w:rPr>
                      <w:rFonts w:ascii="Arial" w:hAnsi="Arial" w:cs="Arial"/>
                      <w:sz w:val="24"/>
                      <w:szCs w:val="24"/>
                    </w:rPr>
                  </w:pPr>
                  <w:r>
                    <w:rPr>
                      <w:rFonts w:ascii="Arial" w:hAnsi="Arial" w:cs="Arial"/>
                      <w:sz w:val="24"/>
                      <w:szCs w:val="24"/>
                    </w:rPr>
                    <w:t>24/8/15</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 xml:space="preserve">26/8 </w:t>
                  </w:r>
                </w:p>
              </w:tc>
              <w:tc>
                <w:tcPr>
                  <w:tcW w:w="3360" w:type="dxa"/>
                </w:tcPr>
                <w:p w:rsidR="0021262C" w:rsidRDefault="0021262C" w:rsidP="008A22C6">
                  <w:pPr>
                    <w:rPr>
                      <w:rFonts w:ascii="Arial" w:hAnsi="Arial" w:cs="Arial"/>
                      <w:sz w:val="24"/>
                      <w:szCs w:val="24"/>
                    </w:rPr>
                  </w:pPr>
                  <w:r>
                    <w:rPr>
                      <w:rFonts w:ascii="Arial" w:hAnsi="Arial" w:cs="Arial"/>
                      <w:sz w:val="24"/>
                      <w:szCs w:val="24"/>
                    </w:rPr>
                    <w:t>7/9/15</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 xml:space="preserve">9/9 </w:t>
                  </w:r>
                </w:p>
              </w:tc>
              <w:tc>
                <w:tcPr>
                  <w:tcW w:w="3360" w:type="dxa"/>
                </w:tcPr>
                <w:p w:rsidR="0021262C" w:rsidRDefault="0021262C" w:rsidP="008A22C6">
                  <w:pPr>
                    <w:rPr>
                      <w:rFonts w:ascii="Arial" w:hAnsi="Arial" w:cs="Arial"/>
                      <w:sz w:val="24"/>
                      <w:szCs w:val="24"/>
                    </w:rPr>
                  </w:pPr>
                  <w:r>
                    <w:rPr>
                      <w:rFonts w:ascii="Arial" w:hAnsi="Arial" w:cs="Arial"/>
                      <w:sz w:val="24"/>
                      <w:szCs w:val="24"/>
                    </w:rPr>
                    <w:t>21/9/15</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23/9</w:t>
                  </w:r>
                </w:p>
              </w:tc>
              <w:tc>
                <w:tcPr>
                  <w:tcW w:w="3360" w:type="dxa"/>
                </w:tcPr>
                <w:p w:rsidR="0021262C" w:rsidRDefault="0021262C" w:rsidP="008A22C6">
                  <w:pPr>
                    <w:rPr>
                      <w:rFonts w:ascii="Arial" w:hAnsi="Arial" w:cs="Arial"/>
                      <w:sz w:val="24"/>
                      <w:szCs w:val="24"/>
                    </w:rPr>
                  </w:pPr>
                  <w:r>
                    <w:rPr>
                      <w:rFonts w:ascii="Arial" w:hAnsi="Arial" w:cs="Arial"/>
                      <w:sz w:val="24"/>
                      <w:szCs w:val="24"/>
                    </w:rPr>
                    <w:t>5/10/15</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7/10</w:t>
                  </w:r>
                </w:p>
              </w:tc>
              <w:tc>
                <w:tcPr>
                  <w:tcW w:w="3360" w:type="dxa"/>
                </w:tcPr>
                <w:p w:rsidR="0021262C" w:rsidRDefault="0021262C" w:rsidP="008A22C6">
                  <w:pPr>
                    <w:rPr>
                      <w:rFonts w:ascii="Arial" w:hAnsi="Arial" w:cs="Arial"/>
                      <w:sz w:val="24"/>
                      <w:szCs w:val="24"/>
                    </w:rPr>
                  </w:pPr>
                  <w:r>
                    <w:rPr>
                      <w:rFonts w:ascii="Arial" w:hAnsi="Arial" w:cs="Arial"/>
                      <w:sz w:val="24"/>
                      <w:szCs w:val="24"/>
                    </w:rPr>
                    <w:t>19/10/15</w:t>
                  </w:r>
                </w:p>
              </w:tc>
            </w:tr>
            <w:tr w:rsidR="0021262C" w:rsidTr="00D56715">
              <w:tc>
                <w:tcPr>
                  <w:tcW w:w="3289" w:type="dxa"/>
                </w:tcPr>
                <w:p w:rsidR="0021262C" w:rsidRDefault="0021262C" w:rsidP="008A22C6">
                  <w:pPr>
                    <w:rPr>
                      <w:rFonts w:ascii="Arial" w:hAnsi="Arial" w:cs="Arial"/>
                      <w:sz w:val="24"/>
                      <w:szCs w:val="24"/>
                    </w:rPr>
                  </w:pPr>
                  <w:r>
                    <w:rPr>
                      <w:rFonts w:ascii="Arial" w:hAnsi="Arial" w:cs="Arial"/>
                      <w:sz w:val="24"/>
                      <w:szCs w:val="24"/>
                    </w:rPr>
                    <w:t>21/10</w:t>
                  </w:r>
                </w:p>
              </w:tc>
              <w:tc>
                <w:tcPr>
                  <w:tcW w:w="3360" w:type="dxa"/>
                </w:tcPr>
                <w:p w:rsidR="0021262C" w:rsidRDefault="0021262C" w:rsidP="008A22C6">
                  <w:pPr>
                    <w:rPr>
                      <w:rFonts w:ascii="Arial" w:hAnsi="Arial" w:cs="Arial"/>
                      <w:sz w:val="24"/>
                      <w:szCs w:val="24"/>
                    </w:rPr>
                  </w:pPr>
                  <w:r>
                    <w:rPr>
                      <w:rFonts w:ascii="Arial" w:hAnsi="Arial" w:cs="Arial"/>
                      <w:sz w:val="24"/>
                      <w:szCs w:val="24"/>
                    </w:rPr>
                    <w:t>2/11/15</w:t>
                  </w:r>
                </w:p>
              </w:tc>
            </w:tr>
            <w:tr w:rsidR="0021262C" w:rsidTr="00D56715">
              <w:trPr>
                <w:trHeight w:val="417"/>
              </w:trPr>
              <w:tc>
                <w:tcPr>
                  <w:tcW w:w="3289" w:type="dxa"/>
                </w:tcPr>
                <w:p w:rsidR="0021262C" w:rsidRDefault="0021262C" w:rsidP="008A22C6">
                  <w:pPr>
                    <w:rPr>
                      <w:rFonts w:ascii="Arial" w:hAnsi="Arial" w:cs="Arial"/>
                      <w:sz w:val="24"/>
                      <w:szCs w:val="24"/>
                    </w:rPr>
                  </w:pPr>
                  <w:r>
                    <w:rPr>
                      <w:rFonts w:ascii="Arial" w:hAnsi="Arial" w:cs="Arial"/>
                      <w:sz w:val="24"/>
                      <w:szCs w:val="24"/>
                    </w:rPr>
                    <w:t>4/11</w:t>
                  </w:r>
                </w:p>
              </w:tc>
              <w:tc>
                <w:tcPr>
                  <w:tcW w:w="3360" w:type="dxa"/>
                </w:tcPr>
                <w:p w:rsidR="0021262C" w:rsidRDefault="0021262C" w:rsidP="008A22C6">
                  <w:pPr>
                    <w:rPr>
                      <w:rFonts w:ascii="Arial" w:hAnsi="Arial" w:cs="Arial"/>
                      <w:sz w:val="24"/>
                      <w:szCs w:val="24"/>
                    </w:rPr>
                  </w:pPr>
                  <w:r>
                    <w:rPr>
                      <w:rFonts w:ascii="Arial" w:hAnsi="Arial" w:cs="Arial"/>
                      <w:sz w:val="24"/>
                      <w:szCs w:val="24"/>
                    </w:rPr>
                    <w:t>16/11/15</w:t>
                  </w:r>
                </w:p>
              </w:tc>
            </w:tr>
          </w:tbl>
          <w:tbl>
            <w:tblPr>
              <w:tblW w:w="1620" w:type="dxa"/>
              <w:tblLook w:val="04A0" w:firstRow="1" w:lastRow="0" w:firstColumn="1" w:lastColumn="0" w:noHBand="0" w:noVBand="1"/>
            </w:tblPr>
            <w:tblGrid>
              <w:gridCol w:w="1620"/>
            </w:tblGrid>
            <w:tr w:rsidR="0021262C" w:rsidRPr="0021262C" w:rsidTr="0021262C">
              <w:trPr>
                <w:trHeight w:val="300"/>
              </w:trPr>
              <w:tc>
                <w:tcPr>
                  <w:tcW w:w="1620" w:type="dxa"/>
                  <w:tcBorders>
                    <w:top w:val="nil"/>
                    <w:left w:val="nil"/>
                    <w:bottom w:val="nil"/>
                    <w:right w:val="nil"/>
                  </w:tcBorders>
                  <w:shd w:val="clear" w:color="auto" w:fill="auto"/>
                  <w:noWrap/>
                  <w:vAlign w:val="bottom"/>
                  <w:hideMark/>
                </w:tcPr>
                <w:p w:rsidR="0021262C" w:rsidRPr="0021262C" w:rsidRDefault="0021262C" w:rsidP="0021262C">
                  <w:pPr>
                    <w:spacing w:after="0" w:line="240" w:lineRule="auto"/>
                    <w:rPr>
                      <w:rFonts w:ascii="Calibri" w:eastAsia="Times New Roman" w:hAnsi="Calibri" w:cs="Calibri"/>
                      <w:b/>
                      <w:bCs/>
                      <w:color w:val="000000"/>
                      <w:lang w:eastAsia="en-GB"/>
                    </w:rPr>
                  </w:pPr>
                </w:p>
              </w:tc>
            </w:tr>
          </w:tbl>
          <w:p w:rsidR="00CE224C" w:rsidRPr="0065596C" w:rsidRDefault="00CE224C" w:rsidP="008A22C6">
            <w:pPr>
              <w:rPr>
                <w:rFonts w:ascii="Arial" w:hAnsi="Arial" w:cs="Arial"/>
                <w:sz w:val="24"/>
                <w:szCs w:val="24"/>
              </w:rPr>
            </w:pPr>
          </w:p>
        </w:tc>
      </w:tr>
      <w:tr w:rsidR="00736DDB" w:rsidRPr="0065596C" w:rsidTr="00376DD8">
        <w:trPr>
          <w:trHeight w:val="7645"/>
        </w:trPr>
        <w:tc>
          <w:tcPr>
            <w:tcW w:w="675" w:type="dxa"/>
          </w:tcPr>
          <w:p w:rsidR="00736DDB" w:rsidRPr="0065596C" w:rsidRDefault="00376DD8" w:rsidP="008A22C6">
            <w:pPr>
              <w:rPr>
                <w:rFonts w:ascii="Arial" w:hAnsi="Arial" w:cs="Arial"/>
                <w:sz w:val="24"/>
                <w:szCs w:val="24"/>
              </w:rPr>
            </w:pPr>
            <w:r>
              <w:rPr>
                <w:rFonts w:ascii="Arial" w:hAnsi="Arial" w:cs="Arial"/>
                <w:sz w:val="24"/>
                <w:szCs w:val="24"/>
              </w:rPr>
              <w:lastRenderedPageBreak/>
              <w:t>7</w:t>
            </w:r>
            <w:r w:rsidR="00FB4281">
              <w:rPr>
                <w:rFonts w:ascii="Arial" w:hAnsi="Arial" w:cs="Arial"/>
                <w:sz w:val="24"/>
                <w:szCs w:val="24"/>
              </w:rPr>
              <w:t>.</w:t>
            </w:r>
          </w:p>
        </w:tc>
        <w:tc>
          <w:tcPr>
            <w:tcW w:w="8567" w:type="dxa"/>
          </w:tcPr>
          <w:p w:rsidR="00535F6B" w:rsidRPr="006A19E4" w:rsidRDefault="00535F6B" w:rsidP="008A22C6">
            <w:pPr>
              <w:rPr>
                <w:rFonts w:ascii="Arial" w:hAnsi="Arial" w:cs="Arial"/>
                <w:b/>
                <w:sz w:val="24"/>
                <w:szCs w:val="24"/>
              </w:rPr>
            </w:pPr>
            <w:r w:rsidRPr="006A19E4">
              <w:rPr>
                <w:rFonts w:ascii="Arial" w:hAnsi="Arial" w:cs="Arial"/>
                <w:b/>
                <w:sz w:val="24"/>
                <w:szCs w:val="24"/>
              </w:rPr>
              <w:t>Bidding</w:t>
            </w:r>
          </w:p>
          <w:p w:rsidR="00535F6B" w:rsidRPr="006A19E4" w:rsidRDefault="00535F6B" w:rsidP="008A22C6">
            <w:pPr>
              <w:rPr>
                <w:rFonts w:ascii="Arial" w:hAnsi="Arial" w:cs="Arial"/>
                <w:sz w:val="24"/>
                <w:szCs w:val="24"/>
              </w:rPr>
            </w:pPr>
            <w:r w:rsidRPr="006A19E4">
              <w:rPr>
                <w:rFonts w:ascii="Arial" w:hAnsi="Arial" w:cs="Arial"/>
                <w:sz w:val="24"/>
                <w:szCs w:val="24"/>
              </w:rPr>
              <w:t xml:space="preserve">A housing applicant can bid for up to 3 properties </w:t>
            </w:r>
            <w:r w:rsidR="003B2283" w:rsidRPr="006A19E4">
              <w:rPr>
                <w:rFonts w:ascii="Arial" w:hAnsi="Arial" w:cs="Arial"/>
                <w:sz w:val="24"/>
                <w:szCs w:val="24"/>
              </w:rPr>
              <w:t>during a</w:t>
            </w:r>
            <w:r w:rsidRPr="006A19E4">
              <w:rPr>
                <w:rFonts w:ascii="Arial" w:hAnsi="Arial" w:cs="Arial"/>
                <w:sz w:val="24"/>
                <w:szCs w:val="24"/>
              </w:rPr>
              <w:t xml:space="preserve"> lettings cycle.  </w:t>
            </w:r>
            <w:r w:rsidR="003B2283" w:rsidRPr="006A19E4">
              <w:rPr>
                <w:rFonts w:ascii="Arial" w:hAnsi="Arial" w:cs="Arial"/>
                <w:sz w:val="24"/>
                <w:szCs w:val="24"/>
              </w:rPr>
              <w:t xml:space="preserve">An applicant can only bid for properties they are eligible to apply for.  </w:t>
            </w:r>
            <w:r w:rsidRPr="006A19E4">
              <w:rPr>
                <w:rFonts w:ascii="Arial" w:hAnsi="Arial" w:cs="Arial"/>
                <w:sz w:val="24"/>
                <w:szCs w:val="24"/>
              </w:rPr>
              <w:t xml:space="preserve">If an applicant is not eligible </w:t>
            </w:r>
            <w:r w:rsidR="00D56715" w:rsidRPr="006A19E4">
              <w:rPr>
                <w:rFonts w:ascii="Arial" w:hAnsi="Arial" w:cs="Arial"/>
                <w:sz w:val="24"/>
                <w:szCs w:val="24"/>
              </w:rPr>
              <w:t xml:space="preserve">for </w:t>
            </w:r>
            <w:r w:rsidRPr="006A19E4">
              <w:rPr>
                <w:rFonts w:ascii="Arial" w:hAnsi="Arial" w:cs="Arial"/>
                <w:sz w:val="24"/>
                <w:szCs w:val="24"/>
              </w:rPr>
              <w:t xml:space="preserve">a property they will not be able to bid for </w:t>
            </w:r>
            <w:r w:rsidR="00D56715" w:rsidRPr="006A19E4">
              <w:rPr>
                <w:rFonts w:ascii="Arial" w:hAnsi="Arial" w:cs="Arial"/>
                <w:sz w:val="24"/>
                <w:szCs w:val="24"/>
              </w:rPr>
              <w:t>it</w:t>
            </w:r>
            <w:r w:rsidRPr="006A19E4">
              <w:rPr>
                <w:rFonts w:ascii="Arial" w:hAnsi="Arial" w:cs="Arial"/>
                <w:sz w:val="24"/>
                <w:szCs w:val="24"/>
              </w:rPr>
              <w:t xml:space="preserve">. </w:t>
            </w:r>
          </w:p>
          <w:p w:rsidR="003B2283" w:rsidRPr="006A19E4" w:rsidRDefault="003B2283" w:rsidP="008A22C6">
            <w:pPr>
              <w:rPr>
                <w:rFonts w:ascii="Arial" w:hAnsi="Arial" w:cs="Arial"/>
                <w:sz w:val="24"/>
                <w:szCs w:val="24"/>
              </w:rPr>
            </w:pPr>
            <w:r w:rsidRPr="006A19E4">
              <w:rPr>
                <w:rFonts w:ascii="Arial" w:hAnsi="Arial" w:cs="Arial"/>
                <w:b/>
                <w:sz w:val="24"/>
                <w:szCs w:val="24"/>
              </w:rPr>
              <w:t>Appendix I</w:t>
            </w:r>
            <w:r w:rsidR="00D56715" w:rsidRPr="006A19E4">
              <w:rPr>
                <w:rFonts w:ascii="Arial" w:hAnsi="Arial" w:cs="Arial"/>
                <w:b/>
                <w:sz w:val="24"/>
                <w:szCs w:val="24"/>
              </w:rPr>
              <w:t>I</w:t>
            </w:r>
            <w:r w:rsidR="00C63354">
              <w:rPr>
                <w:rFonts w:ascii="Arial" w:hAnsi="Arial" w:cs="Arial"/>
                <w:b/>
                <w:sz w:val="24"/>
                <w:szCs w:val="24"/>
              </w:rPr>
              <w:t>I</w:t>
            </w:r>
            <w:r w:rsidRPr="006A19E4">
              <w:rPr>
                <w:rFonts w:ascii="Arial" w:hAnsi="Arial" w:cs="Arial"/>
                <w:sz w:val="24"/>
                <w:szCs w:val="24"/>
              </w:rPr>
              <w:t xml:space="preserve"> shows a breakdown of the bids received during each lettings cycle for the last 3 months.</w:t>
            </w:r>
            <w:r w:rsidR="00D56715" w:rsidRPr="006A19E4">
              <w:rPr>
                <w:rFonts w:ascii="Arial" w:hAnsi="Arial" w:cs="Arial"/>
                <w:sz w:val="24"/>
                <w:szCs w:val="24"/>
              </w:rPr>
              <w:t xml:space="preserve"> The i</w:t>
            </w:r>
            <w:r w:rsidRPr="006A19E4">
              <w:rPr>
                <w:rFonts w:ascii="Arial" w:hAnsi="Arial" w:cs="Arial"/>
                <w:sz w:val="24"/>
                <w:szCs w:val="24"/>
              </w:rPr>
              <w:t xml:space="preserve">nformation from </w:t>
            </w:r>
            <w:r w:rsidRPr="006A19E4">
              <w:rPr>
                <w:rFonts w:ascii="Arial" w:hAnsi="Arial" w:cs="Arial"/>
                <w:b/>
                <w:sz w:val="24"/>
                <w:szCs w:val="24"/>
              </w:rPr>
              <w:t xml:space="preserve">Appendix </w:t>
            </w:r>
            <w:r w:rsidR="007D35CA" w:rsidRPr="006A19E4">
              <w:rPr>
                <w:rFonts w:ascii="Arial" w:hAnsi="Arial" w:cs="Arial"/>
                <w:b/>
                <w:sz w:val="24"/>
                <w:szCs w:val="24"/>
              </w:rPr>
              <w:t>II</w:t>
            </w:r>
            <w:r w:rsidR="00C63354">
              <w:rPr>
                <w:rFonts w:ascii="Arial" w:hAnsi="Arial" w:cs="Arial"/>
                <w:b/>
                <w:sz w:val="24"/>
                <w:szCs w:val="24"/>
              </w:rPr>
              <w:t>I</w:t>
            </w:r>
            <w:r w:rsidR="007D35CA" w:rsidRPr="006A19E4">
              <w:rPr>
                <w:rFonts w:ascii="Arial" w:hAnsi="Arial" w:cs="Arial"/>
                <w:b/>
                <w:sz w:val="24"/>
                <w:szCs w:val="24"/>
              </w:rPr>
              <w:t xml:space="preserve"> </w:t>
            </w:r>
            <w:r w:rsidRPr="006A19E4">
              <w:rPr>
                <w:rFonts w:ascii="Arial" w:hAnsi="Arial" w:cs="Arial"/>
                <w:sz w:val="24"/>
                <w:szCs w:val="24"/>
              </w:rPr>
              <w:t xml:space="preserve">has been summarised in </w:t>
            </w:r>
            <w:r w:rsidR="00165DD7" w:rsidRPr="006A19E4">
              <w:rPr>
                <w:rFonts w:ascii="Arial" w:hAnsi="Arial" w:cs="Arial"/>
                <w:sz w:val="24"/>
                <w:szCs w:val="24"/>
              </w:rPr>
              <w:t>the table</w:t>
            </w:r>
            <w:r w:rsidR="00C63354">
              <w:rPr>
                <w:rFonts w:ascii="Arial" w:hAnsi="Arial" w:cs="Arial"/>
                <w:sz w:val="24"/>
                <w:szCs w:val="24"/>
              </w:rPr>
              <w:t xml:space="preserve"> below</w:t>
            </w:r>
            <w:r w:rsidR="00FB30A5" w:rsidRPr="006A19E4">
              <w:rPr>
                <w:rFonts w:ascii="Arial" w:hAnsi="Arial" w:cs="Arial"/>
                <w:sz w:val="24"/>
                <w:szCs w:val="24"/>
              </w:rPr>
              <w:t>. This shows that o</w:t>
            </w:r>
            <w:r w:rsidRPr="006A19E4">
              <w:rPr>
                <w:rFonts w:ascii="Arial" w:hAnsi="Arial" w:cs="Arial"/>
                <w:sz w:val="24"/>
                <w:szCs w:val="24"/>
              </w:rPr>
              <w:t xml:space="preserve">n average 79% of the bids made are completed within the first 7 days of the lettings cycle and only 21% of bids are made in the last 6 days. </w:t>
            </w:r>
          </w:p>
          <w:tbl>
            <w:tblPr>
              <w:tblW w:w="8440" w:type="dxa"/>
              <w:tblLook w:val="04A0" w:firstRow="1" w:lastRow="0" w:firstColumn="1" w:lastColumn="0" w:noHBand="0" w:noVBand="1"/>
            </w:tblPr>
            <w:tblGrid>
              <w:gridCol w:w="2320"/>
              <w:gridCol w:w="3080"/>
              <w:gridCol w:w="3040"/>
            </w:tblGrid>
            <w:tr w:rsidR="003B2283" w:rsidRPr="006A19E4" w:rsidTr="003B2283">
              <w:trPr>
                <w:trHeight w:val="6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Lettings Cycle</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Total Bids During the first 7 days</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Total Bids during the Last 6 days</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12/8 to 24/8/15</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79%</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21%</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 xml:space="preserve">26/8 to 7/9/15 </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77%</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23%</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 xml:space="preserve">9/9 to 21/9/15 </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80%</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20%</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23/9 to 5/10/15</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77%</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23%</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7/10 to 19/10/15</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80%</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20%</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color w:val="000000"/>
                      <w:sz w:val="24"/>
                      <w:szCs w:val="24"/>
                      <w:lang w:eastAsia="en-GB"/>
                    </w:rPr>
                  </w:pPr>
                  <w:r w:rsidRPr="006A19E4">
                    <w:rPr>
                      <w:rFonts w:ascii="Arial" w:eastAsia="Times New Roman" w:hAnsi="Arial" w:cs="Arial"/>
                      <w:b/>
                      <w:color w:val="000000"/>
                      <w:sz w:val="24"/>
                      <w:szCs w:val="24"/>
                      <w:lang w:eastAsia="en-GB"/>
                    </w:rPr>
                    <w:t>21/10 to 2/11/15</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78%</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22%</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4/11 to 16/11/15</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81%</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color w:val="000000"/>
                      <w:sz w:val="24"/>
                      <w:szCs w:val="24"/>
                      <w:lang w:eastAsia="en-GB"/>
                    </w:rPr>
                  </w:pPr>
                  <w:r w:rsidRPr="006A19E4">
                    <w:rPr>
                      <w:rFonts w:ascii="Arial" w:eastAsia="Times New Roman" w:hAnsi="Arial" w:cs="Arial"/>
                      <w:color w:val="000000"/>
                      <w:sz w:val="24"/>
                      <w:szCs w:val="24"/>
                      <w:lang w:eastAsia="en-GB"/>
                    </w:rPr>
                    <w:t>19%</w:t>
                  </w:r>
                </w:p>
              </w:tc>
            </w:tr>
            <w:tr w:rsidR="003B2283" w:rsidRPr="006A19E4" w:rsidTr="003B2283">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B2283" w:rsidRPr="006A19E4" w:rsidRDefault="00FB30A5" w:rsidP="003B2283">
                  <w:pPr>
                    <w:spacing w:after="0" w:line="240" w:lineRule="auto"/>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 xml:space="preserve">Average Percentage of Bids </w:t>
                  </w:r>
                </w:p>
              </w:tc>
              <w:tc>
                <w:tcPr>
                  <w:tcW w:w="308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79%</w:t>
                  </w:r>
                </w:p>
              </w:tc>
              <w:tc>
                <w:tcPr>
                  <w:tcW w:w="3040" w:type="dxa"/>
                  <w:tcBorders>
                    <w:top w:val="nil"/>
                    <w:left w:val="nil"/>
                    <w:bottom w:val="single" w:sz="4" w:space="0" w:color="auto"/>
                    <w:right w:val="single" w:sz="4" w:space="0" w:color="auto"/>
                  </w:tcBorders>
                  <w:shd w:val="clear" w:color="auto" w:fill="auto"/>
                  <w:noWrap/>
                  <w:vAlign w:val="bottom"/>
                  <w:hideMark/>
                </w:tcPr>
                <w:p w:rsidR="003B2283" w:rsidRPr="006A19E4" w:rsidRDefault="003B2283" w:rsidP="003B2283">
                  <w:pPr>
                    <w:spacing w:after="0" w:line="240" w:lineRule="auto"/>
                    <w:jc w:val="right"/>
                    <w:rPr>
                      <w:rFonts w:ascii="Arial" w:eastAsia="Times New Roman" w:hAnsi="Arial" w:cs="Arial"/>
                      <w:b/>
                      <w:bCs/>
                      <w:color w:val="000000"/>
                      <w:sz w:val="24"/>
                      <w:szCs w:val="24"/>
                      <w:lang w:eastAsia="en-GB"/>
                    </w:rPr>
                  </w:pPr>
                  <w:r w:rsidRPr="006A19E4">
                    <w:rPr>
                      <w:rFonts w:ascii="Arial" w:eastAsia="Times New Roman" w:hAnsi="Arial" w:cs="Arial"/>
                      <w:b/>
                      <w:bCs/>
                      <w:color w:val="000000"/>
                      <w:sz w:val="24"/>
                      <w:szCs w:val="24"/>
                      <w:lang w:eastAsia="en-GB"/>
                    </w:rPr>
                    <w:t>21%</w:t>
                  </w:r>
                </w:p>
              </w:tc>
            </w:tr>
          </w:tbl>
          <w:p w:rsidR="0021262C" w:rsidRPr="0065596C" w:rsidRDefault="0021262C" w:rsidP="008A22C6">
            <w:pPr>
              <w:rPr>
                <w:rFonts w:ascii="Arial" w:hAnsi="Arial" w:cs="Arial"/>
                <w:sz w:val="24"/>
                <w:szCs w:val="24"/>
              </w:rPr>
            </w:pPr>
          </w:p>
        </w:tc>
      </w:tr>
      <w:tr w:rsidR="00736DDB" w:rsidRPr="0065596C" w:rsidTr="00423FCE">
        <w:trPr>
          <w:trHeight w:val="1550"/>
        </w:trPr>
        <w:tc>
          <w:tcPr>
            <w:tcW w:w="675" w:type="dxa"/>
          </w:tcPr>
          <w:p w:rsidR="00736DDB" w:rsidRPr="0065596C" w:rsidRDefault="00376DD8" w:rsidP="008A22C6">
            <w:pPr>
              <w:rPr>
                <w:rFonts w:ascii="Arial" w:hAnsi="Arial" w:cs="Arial"/>
                <w:sz w:val="24"/>
                <w:szCs w:val="24"/>
              </w:rPr>
            </w:pPr>
            <w:r>
              <w:rPr>
                <w:rFonts w:ascii="Arial" w:hAnsi="Arial" w:cs="Arial"/>
                <w:sz w:val="24"/>
                <w:szCs w:val="24"/>
              </w:rPr>
              <w:t>8</w:t>
            </w:r>
            <w:r w:rsidR="00FB4281">
              <w:rPr>
                <w:rFonts w:ascii="Arial" w:hAnsi="Arial" w:cs="Arial"/>
                <w:sz w:val="24"/>
                <w:szCs w:val="24"/>
              </w:rPr>
              <w:t>.</w:t>
            </w:r>
          </w:p>
        </w:tc>
        <w:tc>
          <w:tcPr>
            <w:tcW w:w="8567" w:type="dxa"/>
          </w:tcPr>
          <w:p w:rsidR="00165DD7" w:rsidRPr="00207474" w:rsidRDefault="00423FCE">
            <w:pPr>
              <w:rPr>
                <w:rFonts w:ascii="Arial" w:hAnsi="Arial" w:cs="Arial"/>
                <w:b/>
                <w:sz w:val="24"/>
                <w:szCs w:val="24"/>
              </w:rPr>
            </w:pPr>
            <w:r>
              <w:rPr>
                <w:rFonts w:ascii="Arial" w:hAnsi="Arial" w:cs="Arial"/>
                <w:b/>
                <w:sz w:val="24"/>
                <w:szCs w:val="24"/>
              </w:rPr>
              <w:t>The Housing Register</w:t>
            </w:r>
          </w:p>
          <w:p w:rsidR="00CF2A91" w:rsidRPr="00207474" w:rsidRDefault="00165DD7">
            <w:pPr>
              <w:rPr>
                <w:rFonts w:ascii="Arial" w:hAnsi="Arial" w:cs="Arial"/>
                <w:sz w:val="24"/>
                <w:szCs w:val="24"/>
              </w:rPr>
            </w:pPr>
            <w:r w:rsidRPr="00207474">
              <w:rPr>
                <w:rFonts w:ascii="Arial" w:hAnsi="Arial" w:cs="Arial"/>
                <w:sz w:val="24"/>
                <w:szCs w:val="24"/>
              </w:rPr>
              <w:t xml:space="preserve">There are currently over 3000 households on the Housing Register. </w:t>
            </w:r>
            <w:r w:rsidR="00207474" w:rsidRPr="00207474">
              <w:rPr>
                <w:rFonts w:ascii="Arial" w:hAnsi="Arial" w:cs="Arial"/>
                <w:sz w:val="24"/>
                <w:szCs w:val="24"/>
              </w:rPr>
              <w:t xml:space="preserve"> The table below shows a breakdown of the housing register by Housing Need Band and List. </w:t>
            </w:r>
          </w:p>
          <w:tbl>
            <w:tblPr>
              <w:tblW w:w="6060" w:type="dxa"/>
              <w:tblLook w:val="04A0" w:firstRow="1" w:lastRow="0" w:firstColumn="1" w:lastColumn="0" w:noHBand="0" w:noVBand="1"/>
            </w:tblPr>
            <w:tblGrid>
              <w:gridCol w:w="1420"/>
              <w:gridCol w:w="1177"/>
              <w:gridCol w:w="1748"/>
              <w:gridCol w:w="1350"/>
              <w:gridCol w:w="960"/>
            </w:tblGrid>
            <w:tr w:rsidR="00207474" w:rsidRPr="00207474" w:rsidTr="00207474">
              <w:trPr>
                <w:trHeight w:val="300"/>
              </w:trPr>
              <w:tc>
                <w:tcPr>
                  <w:tcW w:w="1420" w:type="dxa"/>
                  <w:tcBorders>
                    <w:top w:val="nil"/>
                    <w:left w:val="nil"/>
                    <w:bottom w:val="nil"/>
                    <w:right w:val="nil"/>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color w:val="000000"/>
                      <w:sz w:val="24"/>
                      <w:szCs w:val="24"/>
                      <w:lang w:eastAsia="en-GB"/>
                    </w:rPr>
                  </w:pPr>
                </w:p>
              </w:tc>
              <w:tc>
                <w:tcPr>
                  <w:tcW w:w="3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7474" w:rsidRPr="00207474" w:rsidRDefault="00207474" w:rsidP="00207474">
                  <w:pPr>
                    <w:spacing w:after="0" w:line="240" w:lineRule="auto"/>
                    <w:jc w:val="center"/>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Housing List</w:t>
                  </w:r>
                </w:p>
              </w:tc>
              <w:tc>
                <w:tcPr>
                  <w:tcW w:w="960" w:type="dxa"/>
                  <w:tcBorders>
                    <w:top w:val="nil"/>
                    <w:left w:val="nil"/>
                    <w:bottom w:val="nil"/>
                    <w:right w:val="nil"/>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p>
              </w:tc>
            </w:tr>
            <w:tr w:rsidR="00207474" w:rsidRPr="00207474" w:rsidTr="00207474">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Housing Need Priority Band</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Transfer</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General Reg</w:t>
                  </w:r>
                  <w:r>
                    <w:rPr>
                      <w:rFonts w:ascii="Arial" w:eastAsia="Times New Roman" w:hAnsi="Arial" w:cs="Arial"/>
                      <w:b/>
                      <w:bCs/>
                      <w:color w:val="000000"/>
                      <w:sz w:val="24"/>
                      <w:szCs w:val="24"/>
                      <w:lang w:eastAsia="en-GB"/>
                    </w:rPr>
                    <w:t xml:space="preserve">ister </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 xml:space="preserve">Homeless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Total</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Band 1</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45</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1</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46</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Band 2</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184</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54</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238</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Band 3</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289</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343</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721</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Band 4</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42</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91</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133</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Band 5</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384</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1609</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1993</w:t>
                  </w:r>
                </w:p>
              </w:tc>
            </w:tr>
            <w:tr w:rsidR="00207474" w:rsidRPr="00207474" w:rsidTr="0020747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 xml:space="preserve">Total </w:t>
                  </w:r>
                </w:p>
              </w:tc>
              <w:tc>
                <w:tcPr>
                  <w:tcW w:w="894"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944</w:t>
                  </w:r>
                </w:p>
              </w:tc>
              <w:tc>
                <w:tcPr>
                  <w:tcW w:w="174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2098</w:t>
                  </w:r>
                </w:p>
              </w:tc>
              <w:tc>
                <w:tcPr>
                  <w:tcW w:w="1038"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rsidR="00207474" w:rsidRPr="00207474" w:rsidRDefault="00207474" w:rsidP="00207474">
                  <w:pPr>
                    <w:spacing w:after="0" w:line="240" w:lineRule="auto"/>
                    <w:jc w:val="right"/>
                    <w:rPr>
                      <w:rFonts w:ascii="Arial" w:eastAsia="Times New Roman" w:hAnsi="Arial" w:cs="Arial"/>
                      <w:b/>
                      <w:bCs/>
                      <w:color w:val="000000"/>
                      <w:sz w:val="24"/>
                      <w:szCs w:val="24"/>
                      <w:lang w:eastAsia="en-GB"/>
                    </w:rPr>
                  </w:pPr>
                  <w:r w:rsidRPr="00207474">
                    <w:rPr>
                      <w:rFonts w:ascii="Arial" w:eastAsia="Times New Roman" w:hAnsi="Arial" w:cs="Arial"/>
                      <w:b/>
                      <w:bCs/>
                      <w:color w:val="000000"/>
                      <w:sz w:val="24"/>
                      <w:szCs w:val="24"/>
                      <w:lang w:eastAsia="en-GB"/>
                    </w:rPr>
                    <w:t>3131</w:t>
                  </w:r>
                </w:p>
              </w:tc>
            </w:tr>
          </w:tbl>
          <w:p w:rsidR="00423FCE" w:rsidRDefault="00423FCE">
            <w:pPr>
              <w:rPr>
                <w:rFonts w:ascii="Arial" w:hAnsi="Arial" w:cs="Arial"/>
                <w:sz w:val="24"/>
                <w:szCs w:val="24"/>
              </w:rPr>
            </w:pPr>
          </w:p>
          <w:p w:rsidR="00D56715" w:rsidRPr="0065596C" w:rsidRDefault="00207474" w:rsidP="00C63354">
            <w:pPr>
              <w:rPr>
                <w:rFonts w:ascii="Arial" w:hAnsi="Arial" w:cs="Arial"/>
                <w:sz w:val="24"/>
                <w:szCs w:val="24"/>
              </w:rPr>
            </w:pPr>
            <w:r>
              <w:rPr>
                <w:rFonts w:ascii="Arial" w:hAnsi="Arial" w:cs="Arial"/>
                <w:sz w:val="24"/>
                <w:szCs w:val="24"/>
              </w:rPr>
              <w:t xml:space="preserve">The </w:t>
            </w:r>
            <w:r w:rsidR="00C34ADC">
              <w:rPr>
                <w:rFonts w:ascii="Arial" w:hAnsi="Arial" w:cs="Arial"/>
                <w:sz w:val="24"/>
                <w:szCs w:val="24"/>
              </w:rPr>
              <w:t xml:space="preserve">vast majority </w:t>
            </w:r>
            <w:r w:rsidR="00423FCE">
              <w:rPr>
                <w:rFonts w:ascii="Arial" w:hAnsi="Arial" w:cs="Arial"/>
                <w:sz w:val="24"/>
                <w:szCs w:val="24"/>
              </w:rPr>
              <w:t xml:space="preserve">of housing applicants are </w:t>
            </w:r>
            <w:r w:rsidR="00C34ADC">
              <w:rPr>
                <w:rFonts w:ascii="Arial" w:hAnsi="Arial" w:cs="Arial"/>
                <w:sz w:val="24"/>
                <w:szCs w:val="24"/>
              </w:rPr>
              <w:t>in Housing Need Priority Band 5 and</w:t>
            </w:r>
            <w:r>
              <w:rPr>
                <w:rFonts w:ascii="Arial" w:hAnsi="Arial" w:cs="Arial"/>
                <w:sz w:val="24"/>
                <w:szCs w:val="24"/>
              </w:rPr>
              <w:t xml:space="preserve"> are considered to be in low or no housing need so their chances of </w:t>
            </w:r>
            <w:r>
              <w:rPr>
                <w:rFonts w:ascii="Arial" w:hAnsi="Arial" w:cs="Arial"/>
                <w:sz w:val="24"/>
                <w:szCs w:val="24"/>
              </w:rPr>
              <w:lastRenderedPageBreak/>
              <w:t xml:space="preserve">successfully bidding for a property are extremely low (with the exception of some older applicants applying for low demand sheltered accommodation).  Housing applicants in Band 5 are advised when they register they have little chance of receiving an offer of housing and </w:t>
            </w:r>
            <w:r w:rsidR="00C63354">
              <w:rPr>
                <w:rFonts w:ascii="Arial" w:hAnsi="Arial" w:cs="Arial"/>
                <w:sz w:val="24"/>
                <w:szCs w:val="24"/>
              </w:rPr>
              <w:t xml:space="preserve">should consider </w:t>
            </w:r>
            <w:r>
              <w:rPr>
                <w:rFonts w:ascii="Arial" w:hAnsi="Arial" w:cs="Arial"/>
                <w:sz w:val="24"/>
                <w:szCs w:val="24"/>
              </w:rPr>
              <w:t>other housing options</w:t>
            </w:r>
            <w:r w:rsidR="00C63354">
              <w:rPr>
                <w:rFonts w:ascii="Arial" w:hAnsi="Arial" w:cs="Arial"/>
                <w:sz w:val="24"/>
                <w:szCs w:val="24"/>
              </w:rPr>
              <w:t xml:space="preserve"> too</w:t>
            </w:r>
            <w:r>
              <w:rPr>
                <w:rFonts w:ascii="Arial" w:hAnsi="Arial" w:cs="Arial"/>
                <w:sz w:val="24"/>
                <w:szCs w:val="24"/>
              </w:rPr>
              <w:t xml:space="preserve">. </w:t>
            </w:r>
          </w:p>
        </w:tc>
      </w:tr>
      <w:tr w:rsidR="00736DDB" w:rsidRPr="0065596C" w:rsidTr="00736DDB">
        <w:tc>
          <w:tcPr>
            <w:tcW w:w="675" w:type="dxa"/>
          </w:tcPr>
          <w:p w:rsidR="00736DDB" w:rsidRPr="0065596C" w:rsidRDefault="00376DD8" w:rsidP="00376DD8">
            <w:pPr>
              <w:rPr>
                <w:rFonts w:ascii="Arial" w:hAnsi="Arial" w:cs="Arial"/>
                <w:sz w:val="24"/>
                <w:szCs w:val="24"/>
              </w:rPr>
            </w:pPr>
            <w:r>
              <w:rPr>
                <w:rFonts w:ascii="Arial" w:hAnsi="Arial" w:cs="Arial"/>
                <w:sz w:val="24"/>
                <w:szCs w:val="24"/>
              </w:rPr>
              <w:lastRenderedPageBreak/>
              <w:t>9</w:t>
            </w:r>
            <w:r w:rsidR="00FB4281">
              <w:rPr>
                <w:rFonts w:ascii="Arial" w:hAnsi="Arial" w:cs="Arial"/>
                <w:sz w:val="24"/>
                <w:szCs w:val="24"/>
              </w:rPr>
              <w:t>.</w:t>
            </w:r>
          </w:p>
        </w:tc>
        <w:tc>
          <w:tcPr>
            <w:tcW w:w="8567" w:type="dxa"/>
          </w:tcPr>
          <w:p w:rsidR="00AC709B" w:rsidRDefault="005B6965" w:rsidP="008A22C6">
            <w:pPr>
              <w:rPr>
                <w:rFonts w:ascii="Arial" w:hAnsi="Arial" w:cs="Arial"/>
                <w:b/>
                <w:sz w:val="24"/>
                <w:szCs w:val="24"/>
              </w:rPr>
            </w:pPr>
            <w:r>
              <w:rPr>
                <w:rFonts w:ascii="Arial" w:hAnsi="Arial" w:cs="Arial"/>
                <w:b/>
                <w:sz w:val="24"/>
                <w:szCs w:val="24"/>
              </w:rPr>
              <w:t xml:space="preserve">Methods of </w:t>
            </w:r>
            <w:r w:rsidR="00AC709B">
              <w:rPr>
                <w:rFonts w:ascii="Arial" w:hAnsi="Arial" w:cs="Arial"/>
                <w:b/>
                <w:sz w:val="24"/>
                <w:szCs w:val="24"/>
              </w:rPr>
              <w:t>Bidding</w:t>
            </w:r>
          </w:p>
          <w:p w:rsidR="00B95C15" w:rsidRDefault="00AC709B" w:rsidP="008A22C6">
            <w:pPr>
              <w:rPr>
                <w:rFonts w:ascii="Arial" w:hAnsi="Arial" w:cs="Arial"/>
                <w:sz w:val="24"/>
                <w:szCs w:val="24"/>
              </w:rPr>
            </w:pPr>
            <w:r>
              <w:rPr>
                <w:rFonts w:ascii="Arial" w:hAnsi="Arial" w:cs="Arial"/>
                <w:sz w:val="24"/>
                <w:szCs w:val="24"/>
              </w:rPr>
              <w:t>A</w:t>
            </w:r>
            <w:r w:rsidR="00B95C15" w:rsidRPr="00B95C15">
              <w:rPr>
                <w:rFonts w:ascii="Arial" w:hAnsi="Arial" w:cs="Arial"/>
                <w:sz w:val="24"/>
                <w:szCs w:val="24"/>
              </w:rPr>
              <w:t xml:space="preserve">ll housing applicants are sent a “User guide to bidding” when they are included on the Housing Register.  The guide provides </w:t>
            </w:r>
            <w:r>
              <w:rPr>
                <w:rFonts w:ascii="Arial" w:hAnsi="Arial" w:cs="Arial"/>
                <w:sz w:val="24"/>
                <w:szCs w:val="24"/>
              </w:rPr>
              <w:t xml:space="preserve">information </w:t>
            </w:r>
            <w:r w:rsidR="00B95C15" w:rsidRPr="00B95C15">
              <w:rPr>
                <w:rFonts w:ascii="Arial" w:hAnsi="Arial" w:cs="Arial"/>
                <w:sz w:val="24"/>
                <w:szCs w:val="24"/>
              </w:rPr>
              <w:t xml:space="preserve">about </w:t>
            </w:r>
            <w:r w:rsidR="00B95C15">
              <w:rPr>
                <w:rFonts w:ascii="Arial" w:hAnsi="Arial" w:cs="Arial"/>
                <w:sz w:val="24"/>
                <w:szCs w:val="24"/>
              </w:rPr>
              <w:t xml:space="preserve">how CBL works and advice </w:t>
            </w:r>
            <w:r>
              <w:rPr>
                <w:rFonts w:ascii="Arial" w:hAnsi="Arial" w:cs="Arial"/>
                <w:sz w:val="24"/>
                <w:szCs w:val="24"/>
              </w:rPr>
              <w:t>on</w:t>
            </w:r>
            <w:r w:rsidR="00B95C15">
              <w:rPr>
                <w:rFonts w:ascii="Arial" w:hAnsi="Arial" w:cs="Arial"/>
                <w:sz w:val="24"/>
                <w:szCs w:val="24"/>
              </w:rPr>
              <w:t xml:space="preserve"> how to apply for properties.  The guide is also available from Council Offices and on the Council website </w:t>
            </w:r>
            <w:hyperlink r:id="rId10" w:history="1">
              <w:r w:rsidR="00B95C15" w:rsidRPr="00D16FEC">
                <w:rPr>
                  <w:rStyle w:val="Hyperlink"/>
                  <w:rFonts w:ascii="Arial" w:hAnsi="Arial" w:cs="Arial"/>
                  <w:sz w:val="24"/>
                  <w:szCs w:val="24"/>
                </w:rPr>
                <w:t>www.oxford.gov.uk</w:t>
              </w:r>
            </w:hyperlink>
            <w:r w:rsidR="00B95C15">
              <w:rPr>
                <w:rFonts w:ascii="Arial" w:hAnsi="Arial" w:cs="Arial"/>
                <w:sz w:val="24"/>
                <w:szCs w:val="24"/>
              </w:rPr>
              <w:t xml:space="preserve">. </w:t>
            </w:r>
          </w:p>
          <w:p w:rsidR="005B6965" w:rsidRPr="00376DD8" w:rsidRDefault="005B6965" w:rsidP="005B6965">
            <w:pPr>
              <w:rPr>
                <w:rFonts w:ascii="Arial" w:hAnsi="Arial" w:cs="Arial"/>
                <w:sz w:val="24"/>
                <w:szCs w:val="24"/>
              </w:rPr>
            </w:pPr>
            <w:r w:rsidRPr="00376DD8">
              <w:rPr>
                <w:rFonts w:ascii="Arial" w:hAnsi="Arial" w:cs="Arial"/>
                <w:sz w:val="24"/>
                <w:szCs w:val="24"/>
              </w:rPr>
              <w:t>Housing applicants can bid by:</w:t>
            </w:r>
          </w:p>
          <w:p w:rsidR="005B6965" w:rsidRPr="00376DD8" w:rsidRDefault="005B6965" w:rsidP="005B6965">
            <w:pPr>
              <w:pStyle w:val="ListParagraph"/>
              <w:numPr>
                <w:ilvl w:val="0"/>
                <w:numId w:val="6"/>
              </w:numPr>
              <w:rPr>
                <w:rFonts w:ascii="Arial" w:hAnsi="Arial" w:cs="Arial"/>
                <w:sz w:val="24"/>
                <w:szCs w:val="24"/>
              </w:rPr>
            </w:pPr>
            <w:r w:rsidRPr="00376DD8">
              <w:rPr>
                <w:rFonts w:ascii="Arial" w:hAnsi="Arial" w:cs="Arial"/>
                <w:sz w:val="24"/>
                <w:szCs w:val="24"/>
              </w:rPr>
              <w:t xml:space="preserve">The CBL website; </w:t>
            </w:r>
            <w:hyperlink r:id="rId11" w:history="1">
              <w:r w:rsidRPr="00376DD8">
                <w:rPr>
                  <w:rStyle w:val="Hyperlink"/>
                  <w:rFonts w:ascii="Arial" w:hAnsi="Arial" w:cs="Arial"/>
                  <w:sz w:val="24"/>
                  <w:szCs w:val="24"/>
                </w:rPr>
                <w:t>www.oxfordcitycbl.org.uk</w:t>
              </w:r>
            </w:hyperlink>
          </w:p>
          <w:p w:rsidR="005B6965" w:rsidRPr="00376DD8" w:rsidRDefault="005B6965" w:rsidP="005B6965">
            <w:pPr>
              <w:pStyle w:val="ListParagraph"/>
              <w:numPr>
                <w:ilvl w:val="0"/>
                <w:numId w:val="6"/>
              </w:numPr>
              <w:rPr>
                <w:rFonts w:ascii="Arial" w:hAnsi="Arial" w:cs="Arial"/>
                <w:sz w:val="24"/>
                <w:szCs w:val="24"/>
              </w:rPr>
            </w:pPr>
            <w:r w:rsidRPr="00376DD8">
              <w:rPr>
                <w:rFonts w:ascii="Arial" w:hAnsi="Arial" w:cs="Arial"/>
                <w:sz w:val="24"/>
                <w:szCs w:val="24"/>
              </w:rPr>
              <w:t>Phone</w:t>
            </w:r>
          </w:p>
          <w:p w:rsidR="00423FCE" w:rsidRPr="0065596C" w:rsidRDefault="005B6965" w:rsidP="00376DD8">
            <w:pPr>
              <w:rPr>
                <w:rFonts w:ascii="Arial" w:hAnsi="Arial" w:cs="Arial"/>
                <w:sz w:val="24"/>
                <w:szCs w:val="24"/>
              </w:rPr>
            </w:pPr>
            <w:r w:rsidRPr="00376DD8">
              <w:rPr>
                <w:rFonts w:ascii="Arial" w:hAnsi="Arial" w:cs="Arial"/>
                <w:sz w:val="24"/>
                <w:szCs w:val="24"/>
              </w:rPr>
              <w:t xml:space="preserve">The vast majority of housing applicants bid using the website and </w:t>
            </w:r>
            <w:r w:rsidR="008B7C91" w:rsidRPr="00376DD8">
              <w:rPr>
                <w:rFonts w:ascii="Arial" w:hAnsi="Arial" w:cs="Arial"/>
                <w:sz w:val="24"/>
                <w:szCs w:val="24"/>
              </w:rPr>
              <w:t xml:space="preserve">only a very </w:t>
            </w:r>
            <w:r w:rsidRPr="00376DD8">
              <w:rPr>
                <w:rFonts w:ascii="Arial" w:hAnsi="Arial" w:cs="Arial"/>
                <w:sz w:val="24"/>
                <w:szCs w:val="24"/>
              </w:rPr>
              <w:t xml:space="preserve">small number bid by phone (and it is likely this method will no longer be used in the future).  Customers in housing need without access to the internet and unable to come into local offices can be assisted with bidding to help them avoid missing out. For </w:t>
            </w:r>
            <w:r w:rsidR="00AC709B" w:rsidRPr="00027887">
              <w:rPr>
                <w:rFonts w:ascii="Arial" w:hAnsi="Arial" w:cs="Arial"/>
                <w:sz w:val="24"/>
                <w:szCs w:val="24"/>
              </w:rPr>
              <w:t>example</w:t>
            </w:r>
            <w:r w:rsidRPr="00027887">
              <w:rPr>
                <w:rFonts w:ascii="Arial" w:hAnsi="Arial" w:cs="Arial"/>
                <w:sz w:val="24"/>
                <w:szCs w:val="24"/>
              </w:rPr>
              <w:t xml:space="preserve">, </w:t>
            </w:r>
            <w:r>
              <w:rPr>
                <w:rFonts w:ascii="Arial" w:hAnsi="Arial" w:cs="Arial"/>
                <w:sz w:val="24"/>
                <w:szCs w:val="24"/>
              </w:rPr>
              <w:t xml:space="preserve">customers </w:t>
            </w:r>
            <w:r w:rsidR="00AC709B">
              <w:rPr>
                <w:rFonts w:ascii="Arial" w:hAnsi="Arial" w:cs="Arial"/>
                <w:sz w:val="24"/>
                <w:szCs w:val="24"/>
              </w:rPr>
              <w:t xml:space="preserve"> who are older </w:t>
            </w:r>
            <w:r w:rsidR="00C63354">
              <w:rPr>
                <w:rFonts w:ascii="Arial" w:hAnsi="Arial" w:cs="Arial"/>
                <w:sz w:val="24"/>
                <w:szCs w:val="24"/>
              </w:rPr>
              <w:t xml:space="preserve">or </w:t>
            </w:r>
            <w:r w:rsidR="00AC709B">
              <w:rPr>
                <w:rFonts w:ascii="Arial" w:hAnsi="Arial" w:cs="Arial"/>
                <w:sz w:val="24"/>
                <w:szCs w:val="24"/>
              </w:rPr>
              <w:t xml:space="preserve">with a disability </w:t>
            </w:r>
            <w:r w:rsidR="00B95C15">
              <w:rPr>
                <w:rFonts w:ascii="Arial" w:hAnsi="Arial" w:cs="Arial"/>
                <w:sz w:val="24"/>
                <w:szCs w:val="24"/>
              </w:rPr>
              <w:t>can receive assistance from the Housing Needs Team</w:t>
            </w:r>
            <w:r w:rsidR="00AC709B">
              <w:rPr>
                <w:rFonts w:ascii="Arial" w:hAnsi="Arial" w:cs="Arial"/>
                <w:sz w:val="24"/>
                <w:szCs w:val="24"/>
              </w:rPr>
              <w:t xml:space="preserve">, their Tenancy Management Officer, Accommodation &amp; Sustainment Officer, Support Worker </w:t>
            </w:r>
            <w:r w:rsidR="00B95C15">
              <w:rPr>
                <w:rFonts w:ascii="Arial" w:hAnsi="Arial" w:cs="Arial"/>
                <w:sz w:val="24"/>
                <w:szCs w:val="24"/>
              </w:rPr>
              <w:t>or staff in St Aldate’s or Templar’s Square Office</w:t>
            </w:r>
            <w:r w:rsidR="00AC709B">
              <w:rPr>
                <w:rFonts w:ascii="Arial" w:hAnsi="Arial" w:cs="Arial"/>
                <w:sz w:val="24"/>
                <w:szCs w:val="24"/>
              </w:rPr>
              <w:t>s</w:t>
            </w:r>
            <w:r w:rsidR="00B95C15">
              <w:rPr>
                <w:rFonts w:ascii="Arial" w:hAnsi="Arial" w:cs="Arial"/>
                <w:sz w:val="24"/>
                <w:szCs w:val="24"/>
              </w:rPr>
              <w:t xml:space="preserve"> with bidding.  </w:t>
            </w:r>
            <w:r w:rsidR="00AC709B">
              <w:rPr>
                <w:rFonts w:ascii="Arial" w:hAnsi="Arial" w:cs="Arial"/>
                <w:sz w:val="24"/>
                <w:szCs w:val="24"/>
              </w:rPr>
              <w:t>A CBL newsletter</w:t>
            </w:r>
            <w:r w:rsidR="008B7C91">
              <w:rPr>
                <w:rFonts w:ascii="Arial" w:hAnsi="Arial" w:cs="Arial"/>
                <w:sz w:val="24"/>
                <w:szCs w:val="24"/>
              </w:rPr>
              <w:t xml:space="preserve"> called “Direction Home”</w:t>
            </w:r>
            <w:r w:rsidR="00AC709B">
              <w:rPr>
                <w:rFonts w:ascii="Arial" w:hAnsi="Arial" w:cs="Arial"/>
                <w:sz w:val="24"/>
                <w:szCs w:val="24"/>
              </w:rPr>
              <w:t xml:space="preserve"> listing all of the properties becoming available is also circulated to Local Offices during each CBL cycle</w:t>
            </w:r>
            <w:r>
              <w:rPr>
                <w:rFonts w:ascii="Arial" w:hAnsi="Arial" w:cs="Arial"/>
                <w:sz w:val="24"/>
                <w:szCs w:val="24"/>
              </w:rPr>
              <w:t xml:space="preserve">. </w:t>
            </w:r>
            <w:r w:rsidR="008B7C91">
              <w:rPr>
                <w:rFonts w:ascii="Arial" w:hAnsi="Arial" w:cs="Arial"/>
                <w:sz w:val="24"/>
                <w:szCs w:val="24"/>
              </w:rPr>
              <w:t xml:space="preserve"> Currently, around 50 newsletters are </w:t>
            </w:r>
            <w:r w:rsidR="00AC709B">
              <w:rPr>
                <w:rFonts w:ascii="Arial" w:hAnsi="Arial" w:cs="Arial"/>
                <w:sz w:val="24"/>
                <w:szCs w:val="24"/>
              </w:rPr>
              <w:t xml:space="preserve"> posted </w:t>
            </w:r>
            <w:r w:rsidR="008B7C91">
              <w:rPr>
                <w:rFonts w:ascii="Arial" w:hAnsi="Arial" w:cs="Arial"/>
                <w:sz w:val="24"/>
                <w:szCs w:val="24"/>
              </w:rPr>
              <w:t xml:space="preserve">during each lettings cycle </w:t>
            </w:r>
            <w:r w:rsidR="00AC709B">
              <w:rPr>
                <w:rFonts w:ascii="Arial" w:hAnsi="Arial" w:cs="Arial"/>
                <w:sz w:val="24"/>
                <w:szCs w:val="24"/>
              </w:rPr>
              <w:t xml:space="preserve"> to those identified as vulnerable and who are unable to come into a </w:t>
            </w:r>
            <w:r w:rsidR="00C63354">
              <w:rPr>
                <w:rFonts w:ascii="Arial" w:hAnsi="Arial" w:cs="Arial"/>
                <w:sz w:val="24"/>
                <w:szCs w:val="24"/>
              </w:rPr>
              <w:t>local office</w:t>
            </w:r>
            <w:r w:rsidR="00AC709B">
              <w:rPr>
                <w:rFonts w:ascii="Arial" w:hAnsi="Arial" w:cs="Arial"/>
                <w:sz w:val="24"/>
                <w:szCs w:val="24"/>
              </w:rPr>
              <w:t xml:space="preserve">. </w:t>
            </w:r>
          </w:p>
        </w:tc>
      </w:tr>
      <w:tr w:rsidR="008E445B" w:rsidRPr="0065596C" w:rsidTr="00376DD8">
        <w:trPr>
          <w:trHeight w:val="70"/>
        </w:trPr>
        <w:tc>
          <w:tcPr>
            <w:tcW w:w="675" w:type="dxa"/>
          </w:tcPr>
          <w:p w:rsidR="008E445B" w:rsidRDefault="00376DD8" w:rsidP="008A22C6">
            <w:pPr>
              <w:rPr>
                <w:rFonts w:ascii="Arial" w:hAnsi="Arial" w:cs="Arial"/>
                <w:sz w:val="24"/>
                <w:szCs w:val="24"/>
              </w:rPr>
            </w:pPr>
            <w:r>
              <w:rPr>
                <w:rFonts w:ascii="Arial" w:hAnsi="Arial" w:cs="Arial"/>
                <w:sz w:val="24"/>
                <w:szCs w:val="24"/>
              </w:rPr>
              <w:t>10.</w:t>
            </w:r>
          </w:p>
          <w:p w:rsidR="008E445B" w:rsidRDefault="008E445B" w:rsidP="008A22C6">
            <w:pPr>
              <w:rPr>
                <w:rFonts w:ascii="Arial" w:hAnsi="Arial" w:cs="Arial"/>
                <w:sz w:val="24"/>
                <w:szCs w:val="24"/>
              </w:rPr>
            </w:pPr>
          </w:p>
          <w:p w:rsidR="008E445B" w:rsidRDefault="008E445B" w:rsidP="008A22C6">
            <w:pPr>
              <w:rPr>
                <w:rFonts w:ascii="Arial" w:hAnsi="Arial" w:cs="Arial"/>
                <w:sz w:val="24"/>
                <w:szCs w:val="24"/>
              </w:rPr>
            </w:pPr>
          </w:p>
          <w:p w:rsidR="008E445B" w:rsidRDefault="008E445B" w:rsidP="008A22C6">
            <w:pPr>
              <w:rPr>
                <w:rFonts w:ascii="Arial" w:hAnsi="Arial" w:cs="Arial"/>
                <w:sz w:val="24"/>
                <w:szCs w:val="24"/>
              </w:rPr>
            </w:pPr>
          </w:p>
          <w:p w:rsidR="008E445B" w:rsidRPr="0065596C" w:rsidRDefault="008E445B" w:rsidP="008A22C6">
            <w:pPr>
              <w:rPr>
                <w:rFonts w:ascii="Arial" w:hAnsi="Arial" w:cs="Arial"/>
                <w:sz w:val="24"/>
                <w:szCs w:val="24"/>
              </w:rPr>
            </w:pPr>
          </w:p>
        </w:tc>
        <w:tc>
          <w:tcPr>
            <w:tcW w:w="8567" w:type="dxa"/>
          </w:tcPr>
          <w:p w:rsidR="008E445B" w:rsidRDefault="008E445B" w:rsidP="008E445B">
            <w:pPr>
              <w:rPr>
                <w:rFonts w:ascii="Arial" w:hAnsi="Arial" w:cs="Arial"/>
                <w:b/>
                <w:sz w:val="24"/>
                <w:szCs w:val="24"/>
              </w:rPr>
            </w:pPr>
            <w:r w:rsidRPr="00AC709B">
              <w:rPr>
                <w:rFonts w:ascii="Arial" w:hAnsi="Arial" w:cs="Arial"/>
                <w:b/>
                <w:sz w:val="24"/>
                <w:szCs w:val="24"/>
              </w:rPr>
              <w:t>Non-Bidders</w:t>
            </w:r>
          </w:p>
          <w:p w:rsidR="008E445B" w:rsidRDefault="00062E63" w:rsidP="00062E63">
            <w:pPr>
              <w:rPr>
                <w:rFonts w:ascii="Arial" w:hAnsi="Arial" w:cs="Arial"/>
                <w:sz w:val="24"/>
                <w:szCs w:val="24"/>
              </w:rPr>
            </w:pPr>
            <w:r>
              <w:rPr>
                <w:rFonts w:ascii="Arial" w:hAnsi="Arial" w:cs="Arial"/>
                <w:sz w:val="24"/>
                <w:szCs w:val="24"/>
              </w:rPr>
              <w:t>H</w:t>
            </w:r>
            <w:r w:rsidR="008E445B">
              <w:rPr>
                <w:rFonts w:ascii="Arial" w:hAnsi="Arial" w:cs="Arial"/>
                <w:sz w:val="24"/>
                <w:szCs w:val="24"/>
              </w:rPr>
              <w:t xml:space="preserve">ousing applicants in high housing need (Bands 1 or 2), older applicants and those identified as having a disability are </w:t>
            </w:r>
            <w:r>
              <w:rPr>
                <w:rFonts w:ascii="Arial" w:hAnsi="Arial" w:cs="Arial"/>
                <w:sz w:val="24"/>
                <w:szCs w:val="24"/>
              </w:rPr>
              <w:t xml:space="preserve">helped where possible by the </w:t>
            </w:r>
            <w:r w:rsidR="008E445B">
              <w:rPr>
                <w:rFonts w:ascii="Arial" w:hAnsi="Arial" w:cs="Arial"/>
                <w:sz w:val="24"/>
                <w:szCs w:val="24"/>
              </w:rPr>
              <w:t xml:space="preserve">Allocations Team </w:t>
            </w:r>
            <w:r>
              <w:rPr>
                <w:rFonts w:ascii="Arial" w:hAnsi="Arial" w:cs="Arial"/>
                <w:sz w:val="24"/>
                <w:szCs w:val="24"/>
              </w:rPr>
              <w:t xml:space="preserve">with bidding when </w:t>
            </w:r>
            <w:r w:rsidR="008E445B">
              <w:rPr>
                <w:rFonts w:ascii="Arial" w:hAnsi="Arial" w:cs="Arial"/>
                <w:sz w:val="24"/>
                <w:szCs w:val="24"/>
              </w:rPr>
              <w:t>suitable properties become available.  The team also contact those in lower bands</w:t>
            </w:r>
            <w:r>
              <w:rPr>
                <w:rFonts w:ascii="Arial" w:hAnsi="Arial" w:cs="Arial"/>
                <w:sz w:val="24"/>
                <w:szCs w:val="24"/>
              </w:rPr>
              <w:t xml:space="preserve"> (Bands 3 or 4)</w:t>
            </w:r>
            <w:r w:rsidR="008E445B">
              <w:rPr>
                <w:rFonts w:ascii="Arial" w:hAnsi="Arial" w:cs="Arial"/>
                <w:sz w:val="24"/>
                <w:szCs w:val="24"/>
              </w:rPr>
              <w:t xml:space="preserve"> if suitable properties become available and </w:t>
            </w:r>
            <w:r>
              <w:rPr>
                <w:rFonts w:ascii="Arial" w:hAnsi="Arial" w:cs="Arial"/>
                <w:sz w:val="24"/>
                <w:szCs w:val="24"/>
              </w:rPr>
              <w:t xml:space="preserve">it appears </w:t>
            </w:r>
            <w:r w:rsidR="008E445B">
              <w:rPr>
                <w:rFonts w:ascii="Arial" w:hAnsi="Arial" w:cs="Arial"/>
                <w:sz w:val="24"/>
                <w:szCs w:val="24"/>
              </w:rPr>
              <w:t>likely</w:t>
            </w:r>
            <w:r>
              <w:rPr>
                <w:rFonts w:ascii="Arial" w:hAnsi="Arial" w:cs="Arial"/>
                <w:sz w:val="24"/>
                <w:szCs w:val="24"/>
              </w:rPr>
              <w:t xml:space="preserve"> that if a bid is placed they may shortlist for an offer.</w:t>
            </w:r>
          </w:p>
          <w:p w:rsidR="00CD6D2C" w:rsidRDefault="00CD6D2C" w:rsidP="00062E63">
            <w:pPr>
              <w:rPr>
                <w:rFonts w:ascii="Arial" w:hAnsi="Arial" w:cs="Arial"/>
                <w:b/>
                <w:sz w:val="24"/>
                <w:szCs w:val="24"/>
              </w:rPr>
            </w:pPr>
          </w:p>
          <w:p w:rsidR="00CD6D2C" w:rsidRDefault="00CD6D2C" w:rsidP="00062E63">
            <w:pPr>
              <w:rPr>
                <w:rFonts w:ascii="Arial" w:hAnsi="Arial" w:cs="Arial"/>
                <w:b/>
                <w:sz w:val="24"/>
                <w:szCs w:val="24"/>
              </w:rPr>
            </w:pPr>
          </w:p>
          <w:p w:rsidR="00376DD8" w:rsidRDefault="00376DD8" w:rsidP="00062E63">
            <w:pPr>
              <w:rPr>
                <w:rFonts w:ascii="Arial" w:hAnsi="Arial" w:cs="Arial"/>
                <w:b/>
                <w:sz w:val="24"/>
                <w:szCs w:val="24"/>
              </w:rPr>
            </w:pPr>
          </w:p>
          <w:p w:rsidR="00CD6D2C" w:rsidRDefault="00CD6D2C" w:rsidP="00062E63">
            <w:pPr>
              <w:rPr>
                <w:rFonts w:ascii="Arial" w:hAnsi="Arial" w:cs="Arial"/>
                <w:b/>
                <w:sz w:val="24"/>
                <w:szCs w:val="24"/>
              </w:rPr>
            </w:pPr>
          </w:p>
        </w:tc>
      </w:tr>
      <w:tr w:rsidR="00062E63" w:rsidRPr="0065596C" w:rsidTr="00736DDB">
        <w:tc>
          <w:tcPr>
            <w:tcW w:w="675" w:type="dxa"/>
          </w:tcPr>
          <w:p w:rsidR="00062E63" w:rsidRDefault="00FB4281" w:rsidP="008A22C6">
            <w:pPr>
              <w:rPr>
                <w:rFonts w:ascii="Arial" w:hAnsi="Arial" w:cs="Arial"/>
                <w:sz w:val="24"/>
                <w:szCs w:val="24"/>
              </w:rPr>
            </w:pPr>
            <w:r>
              <w:rPr>
                <w:rFonts w:ascii="Arial" w:hAnsi="Arial" w:cs="Arial"/>
                <w:sz w:val="24"/>
                <w:szCs w:val="24"/>
              </w:rPr>
              <w:lastRenderedPageBreak/>
              <w:t>1</w:t>
            </w:r>
            <w:r w:rsidR="00376DD8">
              <w:rPr>
                <w:rFonts w:ascii="Arial" w:hAnsi="Arial" w:cs="Arial"/>
                <w:sz w:val="24"/>
                <w:szCs w:val="24"/>
              </w:rPr>
              <w:t>1</w:t>
            </w:r>
            <w:r>
              <w:rPr>
                <w:rFonts w:ascii="Arial" w:hAnsi="Arial" w:cs="Arial"/>
                <w:sz w:val="24"/>
                <w:szCs w:val="24"/>
              </w:rPr>
              <w:t>.</w:t>
            </w:r>
          </w:p>
          <w:p w:rsidR="00062E63" w:rsidRDefault="00062E63" w:rsidP="008A22C6">
            <w:pPr>
              <w:rPr>
                <w:rFonts w:ascii="Arial" w:hAnsi="Arial" w:cs="Arial"/>
                <w:sz w:val="24"/>
                <w:szCs w:val="24"/>
              </w:rPr>
            </w:pPr>
          </w:p>
          <w:p w:rsidR="00062E63" w:rsidRDefault="00062E63" w:rsidP="008A22C6">
            <w:pPr>
              <w:rPr>
                <w:rFonts w:ascii="Arial" w:hAnsi="Arial" w:cs="Arial"/>
                <w:sz w:val="24"/>
                <w:szCs w:val="24"/>
              </w:rPr>
            </w:pPr>
          </w:p>
          <w:p w:rsidR="00062E63" w:rsidRDefault="00062E63" w:rsidP="008A22C6">
            <w:pPr>
              <w:rPr>
                <w:rFonts w:ascii="Arial" w:hAnsi="Arial" w:cs="Arial"/>
                <w:sz w:val="24"/>
                <w:szCs w:val="24"/>
              </w:rPr>
            </w:pPr>
          </w:p>
          <w:p w:rsidR="00062E63" w:rsidRDefault="00062E63" w:rsidP="008A22C6">
            <w:pPr>
              <w:rPr>
                <w:rFonts w:ascii="Arial" w:hAnsi="Arial" w:cs="Arial"/>
                <w:sz w:val="24"/>
                <w:szCs w:val="24"/>
              </w:rPr>
            </w:pPr>
          </w:p>
          <w:p w:rsidR="00062E63" w:rsidRDefault="00062E63" w:rsidP="008A22C6">
            <w:pPr>
              <w:rPr>
                <w:rFonts w:ascii="Arial" w:hAnsi="Arial" w:cs="Arial"/>
                <w:sz w:val="24"/>
                <w:szCs w:val="24"/>
              </w:rPr>
            </w:pPr>
          </w:p>
        </w:tc>
        <w:tc>
          <w:tcPr>
            <w:tcW w:w="8567" w:type="dxa"/>
          </w:tcPr>
          <w:p w:rsidR="00062E63" w:rsidRDefault="00062E63" w:rsidP="00062E63">
            <w:pPr>
              <w:rPr>
                <w:rFonts w:ascii="Arial" w:hAnsi="Arial" w:cs="Arial"/>
                <w:sz w:val="24"/>
                <w:szCs w:val="24"/>
              </w:rPr>
            </w:pPr>
            <w:r>
              <w:rPr>
                <w:rFonts w:ascii="Arial" w:hAnsi="Arial" w:cs="Arial"/>
                <w:sz w:val="24"/>
                <w:szCs w:val="24"/>
              </w:rPr>
              <w:t xml:space="preserve">The table below lists the number of housing applicants in Bands 1 to 4 on the housing register who have never bid for a property. </w:t>
            </w:r>
          </w:p>
          <w:tbl>
            <w:tblPr>
              <w:tblW w:w="8024" w:type="dxa"/>
              <w:tblLook w:val="04A0" w:firstRow="1" w:lastRow="0" w:firstColumn="1" w:lastColumn="0" w:noHBand="0" w:noVBand="1"/>
            </w:tblPr>
            <w:tblGrid>
              <w:gridCol w:w="4102"/>
              <w:gridCol w:w="1276"/>
              <w:gridCol w:w="1177"/>
              <w:gridCol w:w="1233"/>
              <w:gridCol w:w="236"/>
            </w:tblGrid>
            <w:tr w:rsidR="00062E63" w:rsidRPr="00207474" w:rsidTr="00376DD8">
              <w:trPr>
                <w:trHeight w:val="60"/>
              </w:trPr>
              <w:tc>
                <w:tcPr>
                  <w:tcW w:w="4102" w:type="dxa"/>
                  <w:tcBorders>
                    <w:top w:val="nil"/>
                    <w:left w:val="nil"/>
                    <w:bottom w:val="nil"/>
                    <w:right w:val="nil"/>
                  </w:tcBorders>
                  <w:shd w:val="clear" w:color="auto" w:fill="auto"/>
                  <w:noWrap/>
                  <w:vAlign w:val="bottom"/>
                  <w:hideMark/>
                </w:tcPr>
                <w:p w:rsidR="00062E63" w:rsidRPr="00207474" w:rsidRDefault="00062E63" w:rsidP="00C63354">
                  <w:pPr>
                    <w:spacing w:after="0" w:line="240" w:lineRule="auto"/>
                    <w:rPr>
                      <w:rFonts w:ascii="Arial" w:eastAsia="Times New Roman" w:hAnsi="Arial" w:cs="Arial"/>
                      <w:color w:val="000000"/>
                      <w:lang w:eastAsia="en-GB"/>
                    </w:rPr>
                  </w:pPr>
                </w:p>
              </w:tc>
              <w:tc>
                <w:tcPr>
                  <w:tcW w:w="368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2E63" w:rsidRPr="00207474" w:rsidRDefault="00062E63" w:rsidP="00C63354">
                  <w:pPr>
                    <w:spacing w:after="0" w:line="240" w:lineRule="auto"/>
                    <w:jc w:val="center"/>
                    <w:rPr>
                      <w:rFonts w:ascii="Arial" w:eastAsia="Times New Roman" w:hAnsi="Arial" w:cs="Arial"/>
                      <w:b/>
                      <w:color w:val="000000"/>
                      <w:lang w:eastAsia="en-GB"/>
                    </w:rPr>
                  </w:pPr>
                  <w:r w:rsidRPr="00207474">
                    <w:rPr>
                      <w:rFonts w:ascii="Arial" w:eastAsia="Times New Roman" w:hAnsi="Arial" w:cs="Arial"/>
                      <w:b/>
                      <w:color w:val="000000"/>
                      <w:lang w:eastAsia="en-GB"/>
                    </w:rPr>
                    <w:t>Housing List</w:t>
                  </w:r>
                </w:p>
              </w:tc>
              <w:tc>
                <w:tcPr>
                  <w:tcW w:w="236" w:type="dxa"/>
                  <w:tcBorders>
                    <w:top w:val="nil"/>
                    <w:left w:val="nil"/>
                    <w:bottom w:val="nil"/>
                    <w:right w:val="nil"/>
                  </w:tcBorders>
                  <w:shd w:val="clear" w:color="auto" w:fill="auto"/>
                  <w:noWrap/>
                  <w:vAlign w:val="bottom"/>
                  <w:hideMark/>
                </w:tcPr>
                <w:p w:rsidR="00062E63" w:rsidRPr="00207474" w:rsidRDefault="00062E63" w:rsidP="00C63354">
                  <w:pPr>
                    <w:spacing w:after="0" w:line="240" w:lineRule="auto"/>
                    <w:rPr>
                      <w:rFonts w:ascii="Arial" w:eastAsia="Times New Roman" w:hAnsi="Arial" w:cs="Arial"/>
                      <w:b/>
                      <w:color w:val="000000"/>
                      <w:lang w:eastAsia="en-GB"/>
                    </w:rPr>
                  </w:pPr>
                </w:p>
              </w:tc>
            </w:tr>
            <w:tr w:rsidR="00987AB0" w:rsidRPr="00207474" w:rsidTr="00376DD8">
              <w:trPr>
                <w:gridAfter w:val="1"/>
                <w:wAfter w:w="236" w:type="dxa"/>
                <w:trHeight w:val="615"/>
              </w:trPr>
              <w:tc>
                <w:tcPr>
                  <w:tcW w:w="41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 </w:t>
                  </w:r>
                  <w:r w:rsidRPr="006A19E4">
                    <w:rPr>
                      <w:rFonts w:ascii="Arial" w:eastAsia="Times New Roman" w:hAnsi="Arial" w:cs="Arial"/>
                      <w:b/>
                      <w:color w:val="000000"/>
                      <w:sz w:val="24"/>
                      <w:szCs w:val="24"/>
                      <w:lang w:eastAsia="en-GB"/>
                    </w:rPr>
                    <w:t xml:space="preserve">Housing Need Priority Band </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General Register</w:t>
                  </w:r>
                  <w:r w:rsidRPr="006A19E4">
                    <w:rPr>
                      <w:rFonts w:ascii="Arial" w:eastAsia="Times New Roman" w:hAnsi="Arial" w:cs="Arial"/>
                      <w:b/>
                      <w:color w:val="000000"/>
                      <w:sz w:val="24"/>
                      <w:szCs w:val="24"/>
                      <w:lang w:eastAsia="en-GB"/>
                    </w:rPr>
                    <w:t xml:space="preserve"> </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Transfer</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Total</w:t>
                  </w:r>
                </w:p>
              </w:tc>
            </w:tr>
            <w:tr w:rsidR="00987AB0" w:rsidRPr="00207474" w:rsidTr="00376DD8">
              <w:trPr>
                <w:gridAfter w:val="1"/>
                <w:wAfter w:w="236" w:type="dxa"/>
                <w:trHeight w:val="315"/>
              </w:trPr>
              <w:tc>
                <w:tcPr>
                  <w:tcW w:w="4102" w:type="dxa"/>
                  <w:tcBorders>
                    <w:top w:val="nil"/>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Band 1</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27</w:t>
                  </w:r>
                </w:p>
              </w:tc>
              <w:tc>
                <w:tcPr>
                  <w:tcW w:w="1233"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27</w:t>
                  </w:r>
                </w:p>
              </w:tc>
            </w:tr>
            <w:tr w:rsidR="00987AB0" w:rsidRPr="00207474" w:rsidTr="00376DD8">
              <w:trPr>
                <w:gridAfter w:val="1"/>
                <w:wAfter w:w="236" w:type="dxa"/>
                <w:trHeight w:val="315"/>
              </w:trPr>
              <w:tc>
                <w:tcPr>
                  <w:tcW w:w="4102" w:type="dxa"/>
                  <w:tcBorders>
                    <w:top w:val="nil"/>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Band 2</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3</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55</w:t>
                  </w:r>
                </w:p>
              </w:tc>
              <w:tc>
                <w:tcPr>
                  <w:tcW w:w="1233"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58</w:t>
                  </w:r>
                </w:p>
              </w:tc>
            </w:tr>
            <w:tr w:rsidR="00987AB0" w:rsidRPr="00207474" w:rsidTr="00376DD8">
              <w:trPr>
                <w:gridAfter w:val="1"/>
                <w:wAfter w:w="236" w:type="dxa"/>
                <w:trHeight w:val="315"/>
              </w:trPr>
              <w:tc>
                <w:tcPr>
                  <w:tcW w:w="4102" w:type="dxa"/>
                  <w:tcBorders>
                    <w:top w:val="nil"/>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Band 3</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27</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33</w:t>
                  </w:r>
                </w:p>
              </w:tc>
              <w:tc>
                <w:tcPr>
                  <w:tcW w:w="1233"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65</w:t>
                  </w:r>
                </w:p>
              </w:tc>
            </w:tr>
            <w:tr w:rsidR="00987AB0" w:rsidRPr="00207474" w:rsidTr="00376DD8">
              <w:trPr>
                <w:gridAfter w:val="1"/>
                <w:wAfter w:w="236" w:type="dxa"/>
                <w:trHeight w:val="315"/>
              </w:trPr>
              <w:tc>
                <w:tcPr>
                  <w:tcW w:w="4102" w:type="dxa"/>
                  <w:tcBorders>
                    <w:top w:val="nil"/>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Band 4</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16</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color w:val="000000"/>
                      <w:sz w:val="24"/>
                      <w:szCs w:val="24"/>
                      <w:lang w:eastAsia="en-GB"/>
                    </w:rPr>
                  </w:pPr>
                  <w:r w:rsidRPr="00207474">
                    <w:rPr>
                      <w:rFonts w:ascii="Arial" w:eastAsia="Times New Roman" w:hAnsi="Arial" w:cs="Arial"/>
                      <w:color w:val="000000"/>
                      <w:sz w:val="24"/>
                      <w:szCs w:val="24"/>
                      <w:lang w:eastAsia="en-GB"/>
                    </w:rPr>
                    <w:t> </w:t>
                  </w:r>
                </w:p>
              </w:tc>
              <w:tc>
                <w:tcPr>
                  <w:tcW w:w="1233"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21</w:t>
                  </w:r>
                </w:p>
              </w:tc>
            </w:tr>
            <w:tr w:rsidR="00987AB0" w:rsidRPr="00207474" w:rsidTr="00376DD8">
              <w:trPr>
                <w:gridAfter w:val="1"/>
                <w:wAfter w:w="236" w:type="dxa"/>
                <w:trHeight w:val="315"/>
              </w:trPr>
              <w:tc>
                <w:tcPr>
                  <w:tcW w:w="4102" w:type="dxa"/>
                  <w:tcBorders>
                    <w:top w:val="nil"/>
                    <w:left w:val="single" w:sz="8" w:space="0" w:color="auto"/>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Total</w:t>
                  </w:r>
                </w:p>
              </w:tc>
              <w:tc>
                <w:tcPr>
                  <w:tcW w:w="1276"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46</w:t>
                  </w:r>
                </w:p>
              </w:tc>
              <w:tc>
                <w:tcPr>
                  <w:tcW w:w="1177"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115</w:t>
                  </w:r>
                </w:p>
              </w:tc>
              <w:tc>
                <w:tcPr>
                  <w:tcW w:w="1233" w:type="dxa"/>
                  <w:tcBorders>
                    <w:top w:val="nil"/>
                    <w:left w:val="nil"/>
                    <w:bottom w:val="single" w:sz="8" w:space="0" w:color="auto"/>
                    <w:right w:val="single" w:sz="8" w:space="0" w:color="auto"/>
                  </w:tcBorders>
                  <w:shd w:val="clear" w:color="auto" w:fill="auto"/>
                  <w:vAlign w:val="center"/>
                  <w:hideMark/>
                </w:tcPr>
                <w:p w:rsidR="00987AB0" w:rsidRPr="00207474" w:rsidRDefault="00987AB0" w:rsidP="00C63354">
                  <w:pPr>
                    <w:spacing w:after="0" w:line="240" w:lineRule="auto"/>
                    <w:jc w:val="right"/>
                    <w:rPr>
                      <w:rFonts w:ascii="Arial" w:eastAsia="Times New Roman" w:hAnsi="Arial" w:cs="Arial"/>
                      <w:b/>
                      <w:color w:val="000000"/>
                      <w:sz w:val="24"/>
                      <w:szCs w:val="24"/>
                      <w:lang w:eastAsia="en-GB"/>
                    </w:rPr>
                  </w:pPr>
                  <w:r w:rsidRPr="00207474">
                    <w:rPr>
                      <w:rFonts w:ascii="Arial" w:eastAsia="Times New Roman" w:hAnsi="Arial" w:cs="Arial"/>
                      <w:b/>
                      <w:color w:val="000000"/>
                      <w:sz w:val="24"/>
                      <w:szCs w:val="24"/>
                      <w:lang w:eastAsia="en-GB"/>
                    </w:rPr>
                    <w:t>171</w:t>
                  </w:r>
                </w:p>
              </w:tc>
            </w:tr>
          </w:tbl>
          <w:p w:rsidR="00062E63" w:rsidRDefault="00062E63" w:rsidP="00062E63">
            <w:pPr>
              <w:rPr>
                <w:rFonts w:ascii="Arial" w:hAnsi="Arial" w:cs="Arial"/>
                <w:sz w:val="24"/>
                <w:szCs w:val="24"/>
              </w:rPr>
            </w:pPr>
          </w:p>
          <w:p w:rsidR="00062E63" w:rsidRDefault="00062E63" w:rsidP="00062E63">
            <w:pPr>
              <w:rPr>
                <w:rFonts w:ascii="Arial" w:hAnsi="Arial" w:cs="Arial"/>
                <w:sz w:val="24"/>
                <w:szCs w:val="24"/>
              </w:rPr>
            </w:pPr>
            <w:r>
              <w:rPr>
                <w:rFonts w:ascii="Arial" w:hAnsi="Arial" w:cs="Arial"/>
                <w:sz w:val="24"/>
                <w:szCs w:val="24"/>
              </w:rPr>
              <w:t xml:space="preserve">The Housing Applicants in Band 1 &amp; 2 on the Transfer List are under-occupying tenants who have stated that they may wish to move in the future but are not ready to move at this time or are waiting for a property to become available in a very specific location.  A member of the Allocations Team has a specialist role in contacting such applicants and helping them to bid.  </w:t>
            </w:r>
            <w:r w:rsidR="00C63354">
              <w:rPr>
                <w:rFonts w:ascii="Arial" w:hAnsi="Arial" w:cs="Arial"/>
                <w:sz w:val="24"/>
                <w:szCs w:val="24"/>
              </w:rPr>
              <w:t xml:space="preserve">From 1/4/15 to date </w:t>
            </w:r>
            <w:r>
              <w:rPr>
                <w:rFonts w:ascii="Arial" w:hAnsi="Arial" w:cs="Arial"/>
                <w:sz w:val="24"/>
                <w:szCs w:val="24"/>
              </w:rPr>
              <w:t>30 tenants have been helped to move to smaller more suitable properties and the</w:t>
            </w:r>
            <w:r w:rsidR="00C63354">
              <w:rPr>
                <w:rFonts w:ascii="Arial" w:hAnsi="Arial" w:cs="Arial"/>
                <w:sz w:val="24"/>
                <w:szCs w:val="24"/>
              </w:rPr>
              <w:t xml:space="preserve">ir former homes have been </w:t>
            </w:r>
            <w:r>
              <w:rPr>
                <w:rFonts w:ascii="Arial" w:hAnsi="Arial" w:cs="Arial"/>
                <w:sz w:val="24"/>
                <w:szCs w:val="24"/>
              </w:rPr>
              <w:t>re-let to</w:t>
            </w:r>
            <w:r w:rsidR="00C63354">
              <w:rPr>
                <w:rFonts w:ascii="Arial" w:hAnsi="Arial" w:cs="Arial"/>
                <w:sz w:val="24"/>
                <w:szCs w:val="24"/>
              </w:rPr>
              <w:t xml:space="preserve"> larger</w:t>
            </w:r>
            <w:r>
              <w:rPr>
                <w:rFonts w:ascii="Arial" w:hAnsi="Arial" w:cs="Arial"/>
                <w:sz w:val="24"/>
                <w:szCs w:val="24"/>
              </w:rPr>
              <w:t xml:space="preserve"> families in housing need. </w:t>
            </w:r>
          </w:p>
          <w:p w:rsidR="00987AB0" w:rsidRDefault="00987AB0" w:rsidP="00062E63">
            <w:pPr>
              <w:rPr>
                <w:rFonts w:ascii="Arial" w:hAnsi="Arial" w:cs="Arial"/>
                <w:sz w:val="24"/>
                <w:szCs w:val="24"/>
              </w:rPr>
            </w:pPr>
            <w:r>
              <w:rPr>
                <w:rFonts w:ascii="Arial" w:hAnsi="Arial" w:cs="Arial"/>
                <w:sz w:val="24"/>
                <w:szCs w:val="24"/>
              </w:rPr>
              <w:t xml:space="preserve">The 3 housing applicants in Band 2 on the General Register either require very large properties that become available extremely rarely or will only consider moving to very specific areas where properties become available extremely rarely. </w:t>
            </w:r>
          </w:p>
          <w:p w:rsidR="00987AB0" w:rsidRPr="00987AB0" w:rsidRDefault="00987AB0" w:rsidP="00062E63">
            <w:pPr>
              <w:rPr>
                <w:rFonts w:ascii="Arial" w:hAnsi="Arial" w:cs="Arial"/>
                <w:sz w:val="24"/>
                <w:szCs w:val="24"/>
              </w:rPr>
            </w:pPr>
            <w:r>
              <w:rPr>
                <w:rFonts w:ascii="Arial" w:hAnsi="Arial" w:cs="Arial"/>
                <w:sz w:val="24"/>
                <w:szCs w:val="24"/>
              </w:rPr>
              <w:t xml:space="preserve">The Allocations Team will continue to monitor the non-bidders and contact those who are not bidding if and when potentially suitable properties become available. </w:t>
            </w:r>
          </w:p>
        </w:tc>
      </w:tr>
      <w:tr w:rsidR="008B7C91" w:rsidRPr="0065596C" w:rsidTr="00736DDB">
        <w:tc>
          <w:tcPr>
            <w:tcW w:w="675" w:type="dxa"/>
          </w:tcPr>
          <w:p w:rsidR="008B7C91" w:rsidRDefault="008B7C91" w:rsidP="00376DD8">
            <w:pPr>
              <w:rPr>
                <w:rFonts w:ascii="Arial" w:hAnsi="Arial" w:cs="Arial"/>
                <w:sz w:val="24"/>
                <w:szCs w:val="24"/>
              </w:rPr>
            </w:pPr>
            <w:r>
              <w:rPr>
                <w:rFonts w:ascii="Arial" w:hAnsi="Arial" w:cs="Arial"/>
                <w:sz w:val="24"/>
                <w:szCs w:val="24"/>
              </w:rPr>
              <w:t>1</w:t>
            </w:r>
            <w:r w:rsidR="00376DD8">
              <w:rPr>
                <w:rFonts w:ascii="Arial" w:hAnsi="Arial" w:cs="Arial"/>
                <w:sz w:val="24"/>
                <w:szCs w:val="24"/>
              </w:rPr>
              <w:t>2</w:t>
            </w:r>
            <w:r>
              <w:rPr>
                <w:rFonts w:ascii="Arial" w:hAnsi="Arial" w:cs="Arial"/>
                <w:sz w:val="24"/>
                <w:szCs w:val="24"/>
              </w:rPr>
              <w:t xml:space="preserve">. </w:t>
            </w:r>
          </w:p>
        </w:tc>
        <w:tc>
          <w:tcPr>
            <w:tcW w:w="8567" w:type="dxa"/>
          </w:tcPr>
          <w:p w:rsidR="002343AE" w:rsidRDefault="002343AE" w:rsidP="00062E63">
            <w:pPr>
              <w:rPr>
                <w:rFonts w:ascii="Arial" w:hAnsi="Arial" w:cs="Arial"/>
                <w:b/>
                <w:sz w:val="24"/>
                <w:szCs w:val="24"/>
              </w:rPr>
            </w:pPr>
            <w:r>
              <w:rPr>
                <w:rFonts w:ascii="Arial" w:hAnsi="Arial" w:cs="Arial"/>
                <w:b/>
                <w:sz w:val="24"/>
                <w:szCs w:val="24"/>
              </w:rPr>
              <w:t>The Oxford Register for Affordable Housing (ORAH) Partnership</w:t>
            </w:r>
          </w:p>
          <w:p w:rsidR="00DB5287" w:rsidRPr="00DE7453" w:rsidRDefault="003C39BA" w:rsidP="00AA33B6">
            <w:pPr>
              <w:rPr>
                <w:rFonts w:ascii="Arial" w:hAnsi="Arial" w:cs="Arial"/>
                <w:b/>
                <w:sz w:val="24"/>
                <w:szCs w:val="24"/>
              </w:rPr>
            </w:pPr>
            <w:r w:rsidRPr="00376DD8">
              <w:rPr>
                <w:rFonts w:ascii="Arial" w:hAnsi="Arial" w:cs="Arial"/>
                <w:sz w:val="24"/>
                <w:szCs w:val="24"/>
              </w:rPr>
              <w:t xml:space="preserve">The Oxford Register for Affordable Housing (ORAH) is a partnership between the Council and most </w:t>
            </w:r>
            <w:r w:rsidR="008B7C91" w:rsidRPr="00376DD8">
              <w:rPr>
                <w:rFonts w:ascii="Arial" w:hAnsi="Arial" w:cs="Arial"/>
                <w:sz w:val="24"/>
                <w:szCs w:val="24"/>
              </w:rPr>
              <w:t>Registe</w:t>
            </w:r>
            <w:r w:rsidRPr="00376DD8">
              <w:rPr>
                <w:rFonts w:ascii="Arial" w:hAnsi="Arial" w:cs="Arial"/>
                <w:sz w:val="24"/>
                <w:szCs w:val="24"/>
              </w:rPr>
              <w:t xml:space="preserve">red </w:t>
            </w:r>
            <w:r w:rsidR="008B7C91" w:rsidRPr="00376DD8">
              <w:rPr>
                <w:rFonts w:ascii="Arial" w:hAnsi="Arial" w:cs="Arial"/>
                <w:sz w:val="24"/>
                <w:szCs w:val="24"/>
              </w:rPr>
              <w:t>Provider</w:t>
            </w:r>
            <w:r w:rsidR="00C95D36">
              <w:rPr>
                <w:rFonts w:ascii="Arial" w:hAnsi="Arial" w:cs="Arial"/>
                <w:sz w:val="24"/>
                <w:szCs w:val="24"/>
              </w:rPr>
              <w:t>s</w:t>
            </w:r>
            <w:r w:rsidRPr="00376DD8">
              <w:rPr>
                <w:rFonts w:ascii="Arial" w:hAnsi="Arial" w:cs="Arial"/>
                <w:sz w:val="24"/>
                <w:szCs w:val="24"/>
              </w:rPr>
              <w:t xml:space="preserve"> of social housing with properties in Oxford. The ORAH partnership agreement </w:t>
            </w:r>
            <w:r w:rsidR="002343AE" w:rsidRPr="00376DD8">
              <w:rPr>
                <w:rFonts w:ascii="Arial" w:hAnsi="Arial" w:cs="Arial"/>
                <w:sz w:val="24"/>
                <w:szCs w:val="24"/>
              </w:rPr>
              <w:t xml:space="preserve">includes </w:t>
            </w:r>
            <w:r w:rsidRPr="00376DD8">
              <w:rPr>
                <w:rFonts w:ascii="Arial" w:hAnsi="Arial" w:cs="Arial"/>
                <w:sz w:val="24"/>
                <w:szCs w:val="24"/>
              </w:rPr>
              <w:t xml:space="preserve">lettings targets that the Allocations Team work to. </w:t>
            </w:r>
            <w:r w:rsidR="002343AE" w:rsidRPr="00376DD8">
              <w:rPr>
                <w:rFonts w:ascii="Arial" w:hAnsi="Arial" w:cs="Arial"/>
                <w:sz w:val="24"/>
                <w:szCs w:val="24"/>
              </w:rPr>
              <w:t xml:space="preserve"> These targets are now out of date and </w:t>
            </w:r>
            <w:r w:rsidR="004F60E6" w:rsidRPr="00376DD8">
              <w:rPr>
                <w:rFonts w:ascii="Arial" w:hAnsi="Arial" w:cs="Arial"/>
                <w:sz w:val="24"/>
                <w:szCs w:val="24"/>
              </w:rPr>
              <w:t xml:space="preserve">along with the proposed changes to the CBL cycles </w:t>
            </w:r>
            <w:r w:rsidR="002343AE" w:rsidRPr="00376DD8">
              <w:rPr>
                <w:rFonts w:ascii="Arial" w:hAnsi="Arial" w:cs="Arial"/>
                <w:sz w:val="24"/>
                <w:szCs w:val="24"/>
              </w:rPr>
              <w:t xml:space="preserve">they are currently being reviewed with our partners. </w:t>
            </w:r>
            <w:r w:rsidRPr="00376DD8">
              <w:rPr>
                <w:rFonts w:ascii="Arial" w:hAnsi="Arial" w:cs="Arial"/>
                <w:sz w:val="24"/>
                <w:szCs w:val="24"/>
              </w:rPr>
              <w:t xml:space="preserve"> The </w:t>
            </w:r>
            <w:r w:rsidR="002343AE" w:rsidRPr="00376DD8">
              <w:rPr>
                <w:rFonts w:ascii="Arial" w:hAnsi="Arial" w:cs="Arial"/>
                <w:sz w:val="24"/>
                <w:szCs w:val="24"/>
              </w:rPr>
              <w:t xml:space="preserve">current targets are listed in Appendix IV. </w:t>
            </w:r>
            <w:r w:rsidRPr="00376DD8">
              <w:rPr>
                <w:rFonts w:ascii="Arial" w:hAnsi="Arial" w:cs="Arial"/>
                <w:sz w:val="24"/>
                <w:szCs w:val="24"/>
              </w:rPr>
              <w:t xml:space="preserve"> </w:t>
            </w:r>
            <w:r w:rsidR="004F60E6" w:rsidRPr="00376DD8">
              <w:rPr>
                <w:rFonts w:ascii="Arial" w:hAnsi="Arial" w:cs="Arial"/>
                <w:sz w:val="24"/>
                <w:szCs w:val="24"/>
              </w:rPr>
              <w:t xml:space="preserve">Performance against these targets is reported to the ORAH partnership board </w:t>
            </w:r>
            <w:r w:rsidR="00027887">
              <w:rPr>
                <w:rFonts w:ascii="Arial" w:hAnsi="Arial" w:cs="Arial"/>
                <w:sz w:val="24"/>
                <w:szCs w:val="24"/>
              </w:rPr>
              <w:t>bi-</w:t>
            </w:r>
            <w:r w:rsidR="004F60E6" w:rsidRPr="00376DD8">
              <w:rPr>
                <w:rFonts w:ascii="Arial" w:hAnsi="Arial" w:cs="Arial"/>
                <w:sz w:val="24"/>
                <w:szCs w:val="24"/>
              </w:rPr>
              <w:t xml:space="preserve">annually.  </w:t>
            </w:r>
            <w:r w:rsidR="00704890" w:rsidRPr="00376DD8">
              <w:rPr>
                <w:rFonts w:ascii="Arial" w:hAnsi="Arial" w:cs="Arial"/>
                <w:sz w:val="24"/>
                <w:szCs w:val="24"/>
              </w:rPr>
              <w:t>The Allocations Team seek</w:t>
            </w:r>
            <w:r w:rsidR="00DB5287" w:rsidRPr="00376DD8">
              <w:rPr>
                <w:rFonts w:ascii="Arial" w:hAnsi="Arial" w:cs="Arial"/>
                <w:sz w:val="24"/>
                <w:szCs w:val="24"/>
              </w:rPr>
              <w:t>s</w:t>
            </w:r>
            <w:r w:rsidR="00704890" w:rsidRPr="00376DD8">
              <w:rPr>
                <w:rFonts w:ascii="Arial" w:hAnsi="Arial" w:cs="Arial"/>
                <w:sz w:val="24"/>
                <w:szCs w:val="24"/>
              </w:rPr>
              <w:t xml:space="preserve"> to balance making offers within target against</w:t>
            </w:r>
            <w:r w:rsidR="00DB5287" w:rsidRPr="00376DD8">
              <w:rPr>
                <w:rFonts w:ascii="Arial" w:hAnsi="Arial" w:cs="Arial"/>
                <w:sz w:val="24"/>
                <w:szCs w:val="24"/>
              </w:rPr>
              <w:t xml:space="preserve"> aiming to </w:t>
            </w:r>
            <w:r w:rsidR="00704890" w:rsidRPr="00376DD8">
              <w:rPr>
                <w:rFonts w:ascii="Arial" w:hAnsi="Arial" w:cs="Arial"/>
                <w:sz w:val="24"/>
                <w:szCs w:val="24"/>
              </w:rPr>
              <w:t>only allocate properties</w:t>
            </w:r>
            <w:r w:rsidR="00DB5287" w:rsidRPr="00376DD8">
              <w:rPr>
                <w:rFonts w:ascii="Arial" w:hAnsi="Arial" w:cs="Arial"/>
                <w:sz w:val="24"/>
                <w:szCs w:val="24"/>
              </w:rPr>
              <w:t xml:space="preserve"> to housing applicants</w:t>
            </w:r>
            <w:r w:rsidR="00704890" w:rsidRPr="00376DD8">
              <w:rPr>
                <w:rFonts w:ascii="Arial" w:hAnsi="Arial" w:cs="Arial"/>
                <w:sz w:val="24"/>
                <w:szCs w:val="24"/>
              </w:rPr>
              <w:t xml:space="preserve"> where they are suitable for an offer and the property is suitable for their housing requirements. </w:t>
            </w:r>
            <w:r w:rsidR="00DB5287" w:rsidRPr="00376DD8">
              <w:rPr>
                <w:rFonts w:ascii="Arial" w:hAnsi="Arial" w:cs="Arial"/>
                <w:sz w:val="24"/>
                <w:szCs w:val="24"/>
              </w:rPr>
              <w:t xml:space="preserve"> Where an offer is made outside of the lettings target it is normally because further information or checks are required to ensure the housing applicant is suitable for an offer.</w:t>
            </w:r>
            <w:r w:rsidR="00AA33B6">
              <w:rPr>
                <w:rFonts w:ascii="Arial" w:hAnsi="Arial" w:cs="Arial"/>
                <w:sz w:val="24"/>
                <w:szCs w:val="24"/>
              </w:rPr>
              <w:t xml:space="preserve">  The majority of offers have no impact on void re-let times and it is </w:t>
            </w:r>
            <w:r w:rsidR="00AA33B6">
              <w:rPr>
                <w:rFonts w:ascii="Arial" w:hAnsi="Arial" w:cs="Arial"/>
                <w:sz w:val="24"/>
                <w:szCs w:val="24"/>
              </w:rPr>
              <w:lastRenderedPageBreak/>
              <w:t xml:space="preserve">rare for a delay in an offer have a significant impact on re-let times. </w:t>
            </w:r>
          </w:p>
        </w:tc>
      </w:tr>
      <w:tr w:rsidR="00987AB0" w:rsidRPr="0065596C" w:rsidTr="00736DDB">
        <w:tc>
          <w:tcPr>
            <w:tcW w:w="675" w:type="dxa"/>
          </w:tcPr>
          <w:p w:rsidR="00987AB0" w:rsidRDefault="00FB4281" w:rsidP="00376DD8">
            <w:pPr>
              <w:rPr>
                <w:rFonts w:ascii="Arial" w:hAnsi="Arial" w:cs="Arial"/>
                <w:sz w:val="24"/>
                <w:szCs w:val="24"/>
              </w:rPr>
            </w:pPr>
            <w:r>
              <w:rPr>
                <w:rFonts w:ascii="Arial" w:hAnsi="Arial" w:cs="Arial"/>
                <w:sz w:val="24"/>
                <w:szCs w:val="24"/>
              </w:rPr>
              <w:lastRenderedPageBreak/>
              <w:t>1</w:t>
            </w:r>
            <w:r w:rsidR="00376DD8">
              <w:rPr>
                <w:rFonts w:ascii="Arial" w:hAnsi="Arial" w:cs="Arial"/>
                <w:sz w:val="24"/>
                <w:szCs w:val="24"/>
              </w:rPr>
              <w:t>3</w:t>
            </w:r>
            <w:r>
              <w:rPr>
                <w:rFonts w:ascii="Arial" w:hAnsi="Arial" w:cs="Arial"/>
                <w:sz w:val="24"/>
                <w:szCs w:val="24"/>
              </w:rPr>
              <w:t>.</w:t>
            </w:r>
          </w:p>
        </w:tc>
        <w:tc>
          <w:tcPr>
            <w:tcW w:w="8567" w:type="dxa"/>
          </w:tcPr>
          <w:p w:rsidR="00DE7453" w:rsidRPr="00DE7453" w:rsidRDefault="00987AB0" w:rsidP="00062E63">
            <w:pPr>
              <w:rPr>
                <w:rFonts w:ascii="Arial" w:hAnsi="Arial" w:cs="Arial"/>
                <w:b/>
                <w:sz w:val="24"/>
                <w:szCs w:val="24"/>
              </w:rPr>
            </w:pPr>
            <w:r w:rsidRPr="00DE7453">
              <w:rPr>
                <w:rFonts w:ascii="Arial" w:hAnsi="Arial" w:cs="Arial"/>
                <w:b/>
                <w:sz w:val="24"/>
                <w:szCs w:val="24"/>
              </w:rPr>
              <w:t>Proposed Change to CBL Cycle</w:t>
            </w:r>
            <w:r w:rsidR="00DE7453" w:rsidRPr="00DE7453">
              <w:rPr>
                <w:rFonts w:ascii="Arial" w:hAnsi="Arial" w:cs="Arial"/>
                <w:b/>
                <w:sz w:val="24"/>
                <w:szCs w:val="24"/>
              </w:rPr>
              <w:t>s</w:t>
            </w:r>
          </w:p>
          <w:p w:rsidR="008B7C91" w:rsidRDefault="00DE7453" w:rsidP="00062E63">
            <w:pPr>
              <w:rPr>
                <w:rFonts w:ascii="Arial" w:hAnsi="Arial" w:cs="Arial"/>
                <w:sz w:val="24"/>
                <w:szCs w:val="24"/>
              </w:rPr>
            </w:pPr>
            <w:r>
              <w:rPr>
                <w:rFonts w:ascii="Arial" w:hAnsi="Arial" w:cs="Arial"/>
                <w:sz w:val="24"/>
                <w:szCs w:val="24"/>
              </w:rPr>
              <w:t xml:space="preserve">The Council is under increasing pressure to minimise the loss of any rental income to the Housing Revenue Account when properties become vacant. </w:t>
            </w:r>
            <w:r w:rsidR="00C63354">
              <w:rPr>
                <w:rFonts w:ascii="Arial" w:hAnsi="Arial" w:cs="Arial"/>
                <w:sz w:val="24"/>
                <w:szCs w:val="24"/>
              </w:rPr>
              <w:t xml:space="preserve">The Registered Providers within the ORAH partnership also seek to minimise the loss of rental income. </w:t>
            </w:r>
            <w:r>
              <w:rPr>
                <w:rFonts w:ascii="Arial" w:hAnsi="Arial" w:cs="Arial"/>
                <w:sz w:val="24"/>
                <w:szCs w:val="24"/>
              </w:rPr>
              <w:t>On</w:t>
            </w:r>
            <w:r w:rsidR="00C63354">
              <w:rPr>
                <w:rFonts w:ascii="Arial" w:hAnsi="Arial" w:cs="Arial"/>
                <w:sz w:val="24"/>
                <w:szCs w:val="24"/>
              </w:rPr>
              <w:t>e</w:t>
            </w:r>
            <w:r>
              <w:rPr>
                <w:rFonts w:ascii="Arial" w:hAnsi="Arial" w:cs="Arial"/>
                <w:sz w:val="24"/>
                <w:szCs w:val="24"/>
              </w:rPr>
              <w:t xml:space="preserve"> of the recommendations </w:t>
            </w:r>
            <w:r w:rsidR="00C63354">
              <w:rPr>
                <w:rFonts w:ascii="Arial" w:hAnsi="Arial" w:cs="Arial"/>
                <w:sz w:val="24"/>
                <w:szCs w:val="24"/>
              </w:rPr>
              <w:t xml:space="preserve">of a </w:t>
            </w:r>
            <w:r>
              <w:rPr>
                <w:rFonts w:ascii="Arial" w:hAnsi="Arial" w:cs="Arial"/>
                <w:sz w:val="24"/>
                <w:szCs w:val="24"/>
              </w:rPr>
              <w:t xml:space="preserve">review of the </w:t>
            </w:r>
            <w:r w:rsidR="00C63354">
              <w:rPr>
                <w:rFonts w:ascii="Arial" w:hAnsi="Arial" w:cs="Arial"/>
                <w:sz w:val="24"/>
                <w:szCs w:val="24"/>
              </w:rPr>
              <w:t>v</w:t>
            </w:r>
            <w:r>
              <w:rPr>
                <w:rFonts w:ascii="Arial" w:hAnsi="Arial" w:cs="Arial"/>
                <w:sz w:val="24"/>
                <w:szCs w:val="24"/>
              </w:rPr>
              <w:t xml:space="preserve">oids </w:t>
            </w:r>
            <w:r w:rsidR="00C63354">
              <w:rPr>
                <w:rFonts w:ascii="Arial" w:hAnsi="Arial" w:cs="Arial"/>
                <w:sz w:val="24"/>
                <w:szCs w:val="24"/>
              </w:rPr>
              <w:t>p</w:t>
            </w:r>
            <w:r>
              <w:rPr>
                <w:rFonts w:ascii="Arial" w:hAnsi="Arial" w:cs="Arial"/>
                <w:sz w:val="24"/>
                <w:szCs w:val="24"/>
              </w:rPr>
              <w:t xml:space="preserve">rocess undertaken by the staff involved was that consideration should be given to reducing the length of lettings cycle. </w:t>
            </w:r>
            <w:r w:rsidR="00C63354">
              <w:rPr>
                <w:rFonts w:ascii="Arial" w:hAnsi="Arial" w:cs="Arial"/>
                <w:sz w:val="24"/>
                <w:szCs w:val="24"/>
              </w:rPr>
              <w:t xml:space="preserve"> The ORAH partners also support this approach. </w:t>
            </w:r>
          </w:p>
          <w:p w:rsidR="00AA33B6" w:rsidRDefault="00DE7453" w:rsidP="00DB5287">
            <w:pPr>
              <w:rPr>
                <w:rFonts w:ascii="Arial" w:hAnsi="Arial" w:cs="Arial"/>
                <w:sz w:val="24"/>
                <w:szCs w:val="24"/>
              </w:rPr>
            </w:pPr>
            <w:r>
              <w:rPr>
                <w:rFonts w:ascii="Arial" w:hAnsi="Arial" w:cs="Arial"/>
                <w:sz w:val="24"/>
                <w:szCs w:val="24"/>
              </w:rPr>
              <w:t xml:space="preserve">Analysis of bidding activity shows that almost 80% of applicants bid during the first week of the lettings cycle and only around 20% bid during the last week.  So it is proposed that lettings cycles are changed </w:t>
            </w:r>
            <w:r w:rsidR="00C63354">
              <w:rPr>
                <w:rFonts w:ascii="Arial" w:hAnsi="Arial" w:cs="Arial"/>
                <w:sz w:val="24"/>
                <w:szCs w:val="24"/>
              </w:rPr>
              <w:t xml:space="preserve">in the future </w:t>
            </w:r>
            <w:r>
              <w:rPr>
                <w:rFonts w:ascii="Arial" w:hAnsi="Arial" w:cs="Arial"/>
                <w:sz w:val="24"/>
                <w:szCs w:val="24"/>
              </w:rPr>
              <w:t xml:space="preserve">so that properties are only advertised for 7 days </w:t>
            </w:r>
            <w:r w:rsidR="00C63354">
              <w:rPr>
                <w:rFonts w:ascii="Arial" w:hAnsi="Arial" w:cs="Arial"/>
                <w:sz w:val="24"/>
                <w:szCs w:val="24"/>
              </w:rPr>
              <w:t>(</w:t>
            </w:r>
            <w:r>
              <w:rPr>
                <w:rFonts w:ascii="Arial" w:hAnsi="Arial" w:cs="Arial"/>
                <w:sz w:val="24"/>
                <w:szCs w:val="24"/>
              </w:rPr>
              <w:t>instead of 13 days as currently</w:t>
            </w:r>
            <w:r w:rsidR="00C63354">
              <w:rPr>
                <w:rFonts w:ascii="Arial" w:hAnsi="Arial" w:cs="Arial"/>
                <w:sz w:val="24"/>
                <w:szCs w:val="24"/>
              </w:rPr>
              <w:t xml:space="preserve">).  As part of this process </w:t>
            </w:r>
            <w:r>
              <w:rPr>
                <w:rFonts w:ascii="Arial" w:hAnsi="Arial" w:cs="Arial"/>
                <w:sz w:val="24"/>
                <w:szCs w:val="24"/>
              </w:rPr>
              <w:t xml:space="preserve">all </w:t>
            </w:r>
            <w:r w:rsidR="00C63354">
              <w:rPr>
                <w:rFonts w:ascii="Arial" w:hAnsi="Arial" w:cs="Arial"/>
                <w:sz w:val="24"/>
                <w:szCs w:val="24"/>
              </w:rPr>
              <w:t xml:space="preserve">housing </w:t>
            </w:r>
            <w:r>
              <w:rPr>
                <w:rFonts w:ascii="Arial" w:hAnsi="Arial" w:cs="Arial"/>
                <w:sz w:val="24"/>
                <w:szCs w:val="24"/>
              </w:rPr>
              <w:t xml:space="preserve">applicants </w:t>
            </w:r>
            <w:r w:rsidR="00C63354">
              <w:rPr>
                <w:rFonts w:ascii="Arial" w:hAnsi="Arial" w:cs="Arial"/>
                <w:sz w:val="24"/>
                <w:szCs w:val="24"/>
              </w:rPr>
              <w:t xml:space="preserve">will be </w:t>
            </w:r>
            <w:r>
              <w:rPr>
                <w:rFonts w:ascii="Arial" w:hAnsi="Arial" w:cs="Arial"/>
                <w:sz w:val="24"/>
                <w:szCs w:val="24"/>
              </w:rPr>
              <w:t xml:space="preserve">written to </w:t>
            </w:r>
            <w:r w:rsidR="00C63354">
              <w:rPr>
                <w:rFonts w:ascii="Arial" w:hAnsi="Arial" w:cs="Arial"/>
                <w:sz w:val="24"/>
                <w:szCs w:val="24"/>
              </w:rPr>
              <w:t>notifying them of the change</w:t>
            </w:r>
            <w:r>
              <w:rPr>
                <w:rFonts w:ascii="Arial" w:hAnsi="Arial" w:cs="Arial"/>
                <w:sz w:val="24"/>
                <w:szCs w:val="24"/>
              </w:rPr>
              <w:t xml:space="preserve"> </w:t>
            </w:r>
            <w:r w:rsidR="00964E9F">
              <w:rPr>
                <w:rFonts w:ascii="Arial" w:hAnsi="Arial" w:cs="Arial"/>
                <w:sz w:val="24"/>
                <w:szCs w:val="24"/>
              </w:rPr>
              <w:t xml:space="preserve">and the 20% who tend to bid later in the lettings cycle will need to bid during the first week.  Please  note </w:t>
            </w:r>
            <w:r w:rsidR="00DB5287">
              <w:rPr>
                <w:rFonts w:ascii="Arial" w:hAnsi="Arial" w:cs="Arial"/>
                <w:sz w:val="24"/>
                <w:szCs w:val="24"/>
              </w:rPr>
              <w:t xml:space="preserve">many Local Authorities already use weekly lettings cycles including </w:t>
            </w:r>
            <w:r w:rsidR="00964E9F">
              <w:rPr>
                <w:rFonts w:ascii="Arial" w:hAnsi="Arial" w:cs="Arial"/>
                <w:sz w:val="24"/>
                <w:szCs w:val="24"/>
              </w:rPr>
              <w:t xml:space="preserve"> </w:t>
            </w:r>
            <w:r w:rsidR="00DB5287">
              <w:rPr>
                <w:rFonts w:ascii="Arial" w:hAnsi="Arial" w:cs="Arial"/>
                <w:sz w:val="24"/>
                <w:szCs w:val="24"/>
              </w:rPr>
              <w:t xml:space="preserve">our former Sub-Regional Partners in Oxfordshire: Vale of the White Horse, South Oxfordshire District Council &amp; Cherwell District Council. </w:t>
            </w:r>
          </w:p>
          <w:p w:rsidR="00E51561" w:rsidRDefault="00F54174" w:rsidP="00DB5287">
            <w:pPr>
              <w:rPr>
                <w:rFonts w:ascii="Arial" w:hAnsi="Arial" w:cs="Arial"/>
                <w:sz w:val="24"/>
                <w:szCs w:val="24"/>
              </w:rPr>
            </w:pPr>
            <w:r>
              <w:rPr>
                <w:rFonts w:ascii="Arial" w:hAnsi="Arial" w:cs="Arial"/>
                <w:sz w:val="24"/>
                <w:szCs w:val="24"/>
              </w:rPr>
              <w:t xml:space="preserve">Following the proposed change housing applicants bidding activity will continue to be monitored and assistance will be provided with bidding to those in housing need unable to bid for properties themselves. The Allocations Team will continue to send “Direction Home” newsletters to vulnerable customers. </w:t>
            </w:r>
          </w:p>
          <w:p w:rsidR="00E51561" w:rsidRDefault="00F54174" w:rsidP="00DB5287">
            <w:pPr>
              <w:rPr>
                <w:rFonts w:ascii="Arial" w:hAnsi="Arial" w:cs="Arial"/>
                <w:sz w:val="24"/>
                <w:szCs w:val="24"/>
              </w:rPr>
            </w:pPr>
            <w:r>
              <w:rPr>
                <w:rFonts w:ascii="Arial" w:hAnsi="Arial" w:cs="Arial"/>
                <w:sz w:val="24"/>
                <w:szCs w:val="24"/>
              </w:rPr>
              <w:t>T</w:t>
            </w:r>
            <w:r w:rsidR="00AA33B6">
              <w:rPr>
                <w:rFonts w:ascii="Arial" w:hAnsi="Arial" w:cs="Arial"/>
                <w:sz w:val="24"/>
                <w:szCs w:val="24"/>
              </w:rPr>
              <w:t xml:space="preserve">he ORAH partner Registered Providers will be </w:t>
            </w:r>
            <w:r w:rsidR="00E51561">
              <w:rPr>
                <w:rFonts w:ascii="Arial" w:hAnsi="Arial" w:cs="Arial"/>
                <w:sz w:val="24"/>
                <w:szCs w:val="24"/>
              </w:rPr>
              <w:t xml:space="preserve">requested to pay a </w:t>
            </w:r>
            <w:r w:rsidR="00AA33B6">
              <w:rPr>
                <w:rFonts w:ascii="Arial" w:hAnsi="Arial" w:cs="Arial"/>
                <w:sz w:val="24"/>
                <w:szCs w:val="24"/>
              </w:rPr>
              <w:t xml:space="preserve">charge for advertising properties in the future to cover the additional cost of printing and issuing newsletters more frequently.  </w:t>
            </w:r>
          </w:p>
          <w:p w:rsidR="00987AB0" w:rsidRDefault="00AA33B6" w:rsidP="00DB5287">
            <w:pPr>
              <w:rPr>
                <w:rFonts w:ascii="Arial" w:hAnsi="Arial" w:cs="Arial"/>
                <w:sz w:val="24"/>
                <w:szCs w:val="24"/>
              </w:rPr>
            </w:pPr>
            <w:r>
              <w:rPr>
                <w:rFonts w:ascii="Arial" w:hAnsi="Arial" w:cs="Arial"/>
                <w:sz w:val="24"/>
                <w:szCs w:val="24"/>
              </w:rPr>
              <w:t xml:space="preserve">The Allocations Team </w:t>
            </w:r>
            <w:r w:rsidR="00F54174">
              <w:rPr>
                <w:rFonts w:ascii="Arial" w:hAnsi="Arial" w:cs="Arial"/>
                <w:sz w:val="24"/>
                <w:szCs w:val="24"/>
              </w:rPr>
              <w:t xml:space="preserve">will be able to focus more on assisting non-bidders because they will have a more balanced workload with offers spread over 52 lettings cycles instead of 26 lettings cycles as currently. </w:t>
            </w:r>
          </w:p>
        </w:tc>
      </w:tr>
      <w:tr w:rsidR="00DB5287" w:rsidRPr="0065596C" w:rsidTr="00736DDB">
        <w:tc>
          <w:tcPr>
            <w:tcW w:w="675" w:type="dxa"/>
          </w:tcPr>
          <w:p w:rsidR="00DB5287" w:rsidRDefault="00DB5287" w:rsidP="00376DD8">
            <w:pPr>
              <w:rPr>
                <w:rFonts w:ascii="Arial" w:hAnsi="Arial" w:cs="Arial"/>
                <w:sz w:val="24"/>
                <w:szCs w:val="24"/>
              </w:rPr>
            </w:pPr>
            <w:r>
              <w:rPr>
                <w:rFonts w:ascii="Arial" w:hAnsi="Arial" w:cs="Arial"/>
                <w:sz w:val="24"/>
                <w:szCs w:val="24"/>
              </w:rPr>
              <w:t>1</w:t>
            </w:r>
            <w:r w:rsidR="00376DD8">
              <w:rPr>
                <w:rFonts w:ascii="Arial" w:hAnsi="Arial" w:cs="Arial"/>
                <w:sz w:val="24"/>
                <w:szCs w:val="24"/>
              </w:rPr>
              <w:t>4</w:t>
            </w:r>
            <w:r>
              <w:rPr>
                <w:rFonts w:ascii="Arial" w:hAnsi="Arial" w:cs="Arial"/>
                <w:sz w:val="24"/>
                <w:szCs w:val="24"/>
              </w:rPr>
              <w:t>.</w:t>
            </w:r>
          </w:p>
        </w:tc>
        <w:tc>
          <w:tcPr>
            <w:tcW w:w="8567" w:type="dxa"/>
          </w:tcPr>
          <w:p w:rsidR="00DB5287" w:rsidRPr="00376DD8" w:rsidRDefault="00DB5287" w:rsidP="00062E63">
            <w:pPr>
              <w:rPr>
                <w:rFonts w:ascii="Arial" w:hAnsi="Arial" w:cs="Arial"/>
                <w:sz w:val="24"/>
                <w:szCs w:val="24"/>
              </w:rPr>
            </w:pPr>
            <w:r w:rsidRPr="00376DD8">
              <w:rPr>
                <w:rFonts w:ascii="Arial" w:hAnsi="Arial" w:cs="Arial"/>
                <w:sz w:val="24"/>
                <w:szCs w:val="24"/>
              </w:rPr>
              <w:t>Implementation of the Proposed Changes</w:t>
            </w:r>
            <w:r w:rsidR="007F39CD" w:rsidRPr="00376DD8">
              <w:rPr>
                <w:rFonts w:ascii="Arial" w:hAnsi="Arial" w:cs="Arial"/>
                <w:sz w:val="24"/>
                <w:szCs w:val="24"/>
              </w:rPr>
              <w:t xml:space="preserve"> to CBL lettings cycles</w:t>
            </w:r>
          </w:p>
          <w:p w:rsidR="007F39CD" w:rsidRPr="00376DD8" w:rsidRDefault="007F39CD" w:rsidP="00062E63">
            <w:pPr>
              <w:rPr>
                <w:rFonts w:ascii="Arial" w:hAnsi="Arial" w:cs="Arial"/>
                <w:sz w:val="24"/>
                <w:szCs w:val="24"/>
              </w:rPr>
            </w:pPr>
            <w:r w:rsidRPr="00376DD8">
              <w:rPr>
                <w:rFonts w:ascii="Arial" w:hAnsi="Arial" w:cs="Arial"/>
                <w:sz w:val="24"/>
                <w:szCs w:val="24"/>
              </w:rPr>
              <w:t>It is proposed:</w:t>
            </w:r>
          </w:p>
          <w:p w:rsidR="007F39CD" w:rsidRPr="00376DD8" w:rsidRDefault="007F39CD" w:rsidP="00376DD8">
            <w:pPr>
              <w:pStyle w:val="ListParagraph"/>
              <w:numPr>
                <w:ilvl w:val="0"/>
                <w:numId w:val="8"/>
              </w:numPr>
              <w:rPr>
                <w:rFonts w:ascii="Arial" w:hAnsi="Arial" w:cs="Arial"/>
                <w:sz w:val="24"/>
                <w:szCs w:val="24"/>
              </w:rPr>
            </w:pPr>
            <w:r w:rsidRPr="00376DD8">
              <w:rPr>
                <w:rFonts w:ascii="Arial" w:hAnsi="Arial" w:cs="Arial"/>
                <w:sz w:val="24"/>
                <w:szCs w:val="24"/>
              </w:rPr>
              <w:t xml:space="preserve">The Head of Housing authorises a change to weekly CBL lettings in early 2016 </w:t>
            </w:r>
          </w:p>
          <w:p w:rsidR="007F39CD" w:rsidRPr="00376DD8" w:rsidRDefault="007F39CD" w:rsidP="00376DD8">
            <w:pPr>
              <w:pStyle w:val="ListParagraph"/>
              <w:numPr>
                <w:ilvl w:val="0"/>
                <w:numId w:val="8"/>
              </w:numPr>
              <w:rPr>
                <w:rFonts w:ascii="Arial" w:hAnsi="Arial" w:cs="Arial"/>
                <w:sz w:val="24"/>
                <w:szCs w:val="24"/>
              </w:rPr>
            </w:pPr>
            <w:r w:rsidRPr="00376DD8">
              <w:rPr>
                <w:rFonts w:ascii="Arial" w:hAnsi="Arial" w:cs="Arial"/>
                <w:sz w:val="24"/>
                <w:szCs w:val="24"/>
              </w:rPr>
              <w:t>All housing applicants and support providers are written to notifying them of the change before it takes place</w:t>
            </w:r>
          </w:p>
          <w:p w:rsidR="00CD6D2C" w:rsidRPr="00376DD8" w:rsidRDefault="007F39CD" w:rsidP="00376DD8">
            <w:pPr>
              <w:pStyle w:val="ListParagraph"/>
              <w:numPr>
                <w:ilvl w:val="0"/>
                <w:numId w:val="8"/>
              </w:numPr>
              <w:rPr>
                <w:rFonts w:ascii="Arial" w:hAnsi="Arial" w:cs="Arial"/>
                <w:sz w:val="24"/>
                <w:szCs w:val="24"/>
              </w:rPr>
            </w:pPr>
            <w:r w:rsidRPr="00376DD8">
              <w:rPr>
                <w:rFonts w:ascii="Arial" w:hAnsi="Arial" w:cs="Arial"/>
                <w:sz w:val="24"/>
                <w:szCs w:val="24"/>
              </w:rPr>
              <w:t>Housing applicants in housing need continue to receive assistance with bidding</w:t>
            </w:r>
          </w:p>
          <w:p w:rsidR="007F39CD" w:rsidRPr="00376DD8" w:rsidRDefault="00CD6D2C" w:rsidP="00376DD8">
            <w:pPr>
              <w:pStyle w:val="ListParagraph"/>
              <w:numPr>
                <w:ilvl w:val="0"/>
                <w:numId w:val="8"/>
              </w:numPr>
              <w:rPr>
                <w:rFonts w:ascii="Arial" w:hAnsi="Arial" w:cs="Arial"/>
                <w:sz w:val="24"/>
                <w:szCs w:val="24"/>
              </w:rPr>
            </w:pPr>
            <w:r w:rsidRPr="00376DD8">
              <w:rPr>
                <w:rFonts w:ascii="Arial" w:hAnsi="Arial" w:cs="Arial"/>
                <w:sz w:val="24"/>
                <w:szCs w:val="24"/>
              </w:rPr>
              <w:lastRenderedPageBreak/>
              <w:t>Regular</w:t>
            </w:r>
            <w:r w:rsidR="007F39CD" w:rsidRPr="00376DD8">
              <w:rPr>
                <w:rFonts w:ascii="Arial" w:hAnsi="Arial" w:cs="Arial"/>
                <w:sz w:val="24"/>
                <w:szCs w:val="24"/>
              </w:rPr>
              <w:t xml:space="preserve"> monitoring takes place to ensure housing applicants in housing need, particularly the elderly or vulnerable are bidding for suitable properties advertised as becoming available </w:t>
            </w:r>
          </w:p>
          <w:p w:rsidR="00DB5287" w:rsidRPr="00DE7453" w:rsidRDefault="00DB5287" w:rsidP="00062E63">
            <w:pPr>
              <w:rPr>
                <w:rFonts w:ascii="Arial" w:hAnsi="Arial" w:cs="Arial"/>
                <w:b/>
                <w:sz w:val="24"/>
                <w:szCs w:val="24"/>
              </w:rPr>
            </w:pPr>
          </w:p>
        </w:tc>
      </w:tr>
    </w:tbl>
    <w:p w:rsidR="00535F6B" w:rsidRDefault="00535F6B" w:rsidP="008A22C6">
      <w:pPr>
        <w:rPr>
          <w:rFonts w:ascii="Arial" w:hAnsi="Arial" w:cs="Arial"/>
          <w:sz w:val="24"/>
          <w:szCs w:val="24"/>
        </w:rPr>
      </w:pPr>
    </w:p>
    <w:p w:rsidR="00BF549C" w:rsidRDefault="00BF549C" w:rsidP="00E40554">
      <w:pPr>
        <w:spacing w:after="0" w:line="240" w:lineRule="auto"/>
        <w:rPr>
          <w:rFonts w:ascii="Arial" w:hAnsi="Arial" w:cs="Arial"/>
          <w:b/>
          <w:sz w:val="24"/>
          <w:szCs w:val="24"/>
        </w:rPr>
      </w:pPr>
      <w:r>
        <w:rPr>
          <w:rFonts w:ascii="Arial" w:hAnsi="Arial" w:cs="Arial"/>
          <w:b/>
          <w:sz w:val="24"/>
          <w:szCs w:val="24"/>
        </w:rPr>
        <w:t>Name &amp; contact details of author:</w:t>
      </w:r>
    </w:p>
    <w:p w:rsidR="00BF549C" w:rsidRDefault="00BF549C" w:rsidP="00E40554">
      <w:pPr>
        <w:spacing w:after="0" w:line="240" w:lineRule="auto"/>
        <w:rPr>
          <w:rFonts w:ascii="Arial" w:hAnsi="Arial" w:cs="Arial"/>
          <w:b/>
          <w:sz w:val="24"/>
          <w:szCs w:val="24"/>
        </w:rPr>
      </w:pPr>
    </w:p>
    <w:p w:rsidR="00BF549C" w:rsidRPr="00BF549C" w:rsidRDefault="00BF549C" w:rsidP="00E40554">
      <w:pPr>
        <w:spacing w:after="0" w:line="240" w:lineRule="auto"/>
        <w:rPr>
          <w:rFonts w:ascii="Arial" w:hAnsi="Arial" w:cs="Arial"/>
          <w:sz w:val="24"/>
          <w:szCs w:val="24"/>
        </w:rPr>
      </w:pPr>
      <w:r w:rsidRPr="00BF549C">
        <w:rPr>
          <w:rFonts w:ascii="Arial" w:hAnsi="Arial" w:cs="Arial"/>
          <w:sz w:val="24"/>
          <w:szCs w:val="24"/>
        </w:rPr>
        <w:t>Tom Porter</w:t>
      </w:r>
    </w:p>
    <w:p w:rsidR="00BF549C" w:rsidRPr="00BF549C" w:rsidRDefault="00BF549C" w:rsidP="00E40554">
      <w:pPr>
        <w:spacing w:after="0" w:line="240" w:lineRule="auto"/>
        <w:rPr>
          <w:rFonts w:ascii="Arial" w:hAnsi="Arial" w:cs="Arial"/>
          <w:sz w:val="24"/>
          <w:szCs w:val="24"/>
        </w:rPr>
      </w:pPr>
    </w:p>
    <w:p w:rsidR="00BF549C" w:rsidRPr="00BF549C" w:rsidRDefault="00BF549C" w:rsidP="00E40554">
      <w:pPr>
        <w:spacing w:after="0" w:line="240" w:lineRule="auto"/>
        <w:rPr>
          <w:rFonts w:ascii="Arial" w:hAnsi="Arial" w:cs="Arial"/>
          <w:sz w:val="24"/>
          <w:szCs w:val="24"/>
        </w:rPr>
      </w:pPr>
      <w:r w:rsidRPr="00BF549C">
        <w:rPr>
          <w:rFonts w:ascii="Arial" w:hAnsi="Arial" w:cs="Arial"/>
          <w:sz w:val="24"/>
          <w:szCs w:val="24"/>
        </w:rPr>
        <w:t>Allocations Manager</w:t>
      </w:r>
    </w:p>
    <w:p w:rsidR="00BF549C" w:rsidRPr="00BF549C" w:rsidRDefault="00BF549C" w:rsidP="00E40554">
      <w:pPr>
        <w:spacing w:after="0" w:line="240" w:lineRule="auto"/>
        <w:rPr>
          <w:rFonts w:ascii="Arial" w:hAnsi="Arial" w:cs="Arial"/>
          <w:sz w:val="24"/>
          <w:szCs w:val="24"/>
        </w:rPr>
      </w:pPr>
    </w:p>
    <w:p w:rsidR="00BF549C" w:rsidRPr="00BF549C" w:rsidRDefault="00BF549C" w:rsidP="00E40554">
      <w:pPr>
        <w:spacing w:after="0" w:line="240" w:lineRule="auto"/>
        <w:rPr>
          <w:rFonts w:ascii="Arial" w:hAnsi="Arial" w:cs="Arial"/>
          <w:sz w:val="24"/>
          <w:szCs w:val="24"/>
        </w:rPr>
      </w:pPr>
      <w:r w:rsidRPr="00BF549C">
        <w:rPr>
          <w:rFonts w:ascii="Arial" w:hAnsi="Arial" w:cs="Arial"/>
          <w:sz w:val="24"/>
          <w:szCs w:val="24"/>
        </w:rPr>
        <w:t>Community Housing and Community Development</w:t>
      </w:r>
    </w:p>
    <w:p w:rsidR="00BF549C" w:rsidRPr="00BF549C" w:rsidRDefault="00BF549C" w:rsidP="00E40554">
      <w:pPr>
        <w:spacing w:after="0" w:line="240" w:lineRule="auto"/>
        <w:rPr>
          <w:rFonts w:ascii="Arial" w:hAnsi="Arial" w:cs="Arial"/>
          <w:sz w:val="24"/>
          <w:szCs w:val="24"/>
        </w:rPr>
      </w:pPr>
    </w:p>
    <w:p w:rsidR="002343AE" w:rsidRDefault="00BF549C" w:rsidP="00E61F01">
      <w:pPr>
        <w:spacing w:after="0" w:line="240" w:lineRule="auto"/>
        <w:rPr>
          <w:rFonts w:ascii="Arial" w:hAnsi="Arial" w:cs="Arial"/>
        </w:rPr>
      </w:pPr>
      <w:r w:rsidRPr="00BF549C">
        <w:rPr>
          <w:rFonts w:ascii="Arial" w:hAnsi="Arial" w:cs="Arial"/>
          <w:sz w:val="24"/>
          <w:szCs w:val="24"/>
        </w:rPr>
        <w:t>Tel: 01865 249811 Email: tporter@oxford.gov.uk</w:t>
      </w:r>
    </w:p>
    <w:p w:rsidR="002343AE" w:rsidRPr="0065596C" w:rsidRDefault="002343AE" w:rsidP="008A22C6">
      <w:pPr>
        <w:rPr>
          <w:rFonts w:ascii="Arial" w:hAnsi="Arial" w:cs="Arial"/>
          <w:sz w:val="24"/>
          <w:szCs w:val="24"/>
        </w:rPr>
      </w:pPr>
    </w:p>
    <w:sectPr w:rsidR="002343AE" w:rsidRPr="0065596C" w:rsidSect="00E61F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EF" w:rsidRDefault="00435FEF" w:rsidP="00435FEF">
      <w:pPr>
        <w:spacing w:after="0" w:line="240" w:lineRule="auto"/>
      </w:pPr>
      <w:r>
        <w:separator/>
      </w:r>
    </w:p>
  </w:endnote>
  <w:endnote w:type="continuationSeparator" w:id="0">
    <w:p w:rsidR="00435FEF" w:rsidRDefault="00435FEF" w:rsidP="0043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EF" w:rsidRDefault="00435FEF">
    <w:pPr>
      <w:pStyle w:val="Footer"/>
    </w:pPr>
    <w:r>
      <w:t>Choice-Based Lettings Update</w:t>
    </w:r>
  </w:p>
  <w:p w:rsidR="00435FEF" w:rsidRDefault="0043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EF" w:rsidRDefault="00435FEF" w:rsidP="00435FEF">
      <w:pPr>
        <w:spacing w:after="0" w:line="240" w:lineRule="auto"/>
      </w:pPr>
      <w:r>
        <w:separator/>
      </w:r>
    </w:p>
  </w:footnote>
  <w:footnote w:type="continuationSeparator" w:id="0">
    <w:p w:rsidR="00435FEF" w:rsidRDefault="00435FEF" w:rsidP="00435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E24"/>
    <w:multiLevelType w:val="hybridMultilevel"/>
    <w:tmpl w:val="0BC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386B"/>
    <w:multiLevelType w:val="hybridMultilevel"/>
    <w:tmpl w:val="56E86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28D22EC"/>
    <w:multiLevelType w:val="hybridMultilevel"/>
    <w:tmpl w:val="DF06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72E26"/>
    <w:multiLevelType w:val="hybridMultilevel"/>
    <w:tmpl w:val="26F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F2EA7"/>
    <w:multiLevelType w:val="hybridMultilevel"/>
    <w:tmpl w:val="FCAE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3267F"/>
    <w:multiLevelType w:val="hybridMultilevel"/>
    <w:tmpl w:val="0468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A6F32"/>
    <w:multiLevelType w:val="hybridMultilevel"/>
    <w:tmpl w:val="3E9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D439C"/>
    <w:multiLevelType w:val="hybridMultilevel"/>
    <w:tmpl w:val="04ACA0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6A44095C"/>
    <w:multiLevelType w:val="hybridMultilevel"/>
    <w:tmpl w:val="6AE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A"/>
    <w:rsid w:val="00027887"/>
    <w:rsid w:val="00062E63"/>
    <w:rsid w:val="000B4310"/>
    <w:rsid w:val="000C2D97"/>
    <w:rsid w:val="00165DD7"/>
    <w:rsid w:val="00207474"/>
    <w:rsid w:val="0021262C"/>
    <w:rsid w:val="002343AE"/>
    <w:rsid w:val="0028237A"/>
    <w:rsid w:val="00291943"/>
    <w:rsid w:val="00297E2A"/>
    <w:rsid w:val="00306EC9"/>
    <w:rsid w:val="00376DD8"/>
    <w:rsid w:val="003A76EC"/>
    <w:rsid w:val="003B2283"/>
    <w:rsid w:val="003C307E"/>
    <w:rsid w:val="003C39BA"/>
    <w:rsid w:val="004000D7"/>
    <w:rsid w:val="00423FCE"/>
    <w:rsid w:val="00435FEF"/>
    <w:rsid w:val="004F1FC7"/>
    <w:rsid w:val="004F60E6"/>
    <w:rsid w:val="00504E43"/>
    <w:rsid w:val="00507CFA"/>
    <w:rsid w:val="00535F6B"/>
    <w:rsid w:val="00581866"/>
    <w:rsid w:val="005A23DA"/>
    <w:rsid w:val="005B6965"/>
    <w:rsid w:val="006446E0"/>
    <w:rsid w:val="0065596C"/>
    <w:rsid w:val="00655FF8"/>
    <w:rsid w:val="006A19E4"/>
    <w:rsid w:val="006C05E4"/>
    <w:rsid w:val="007038DF"/>
    <w:rsid w:val="00704890"/>
    <w:rsid w:val="00736DDB"/>
    <w:rsid w:val="007908F4"/>
    <w:rsid w:val="007D35CA"/>
    <w:rsid w:val="007F39CD"/>
    <w:rsid w:val="008A22C6"/>
    <w:rsid w:val="008B7C91"/>
    <w:rsid w:val="008C04E9"/>
    <w:rsid w:val="008E445B"/>
    <w:rsid w:val="009044B3"/>
    <w:rsid w:val="00964E9F"/>
    <w:rsid w:val="00987AB0"/>
    <w:rsid w:val="009B4E71"/>
    <w:rsid w:val="00A95BEC"/>
    <w:rsid w:val="00AA33B6"/>
    <w:rsid w:val="00AC709B"/>
    <w:rsid w:val="00B408C1"/>
    <w:rsid w:val="00B50BFA"/>
    <w:rsid w:val="00B657B0"/>
    <w:rsid w:val="00B95C15"/>
    <w:rsid w:val="00BB3550"/>
    <w:rsid w:val="00BF549C"/>
    <w:rsid w:val="00C07F80"/>
    <w:rsid w:val="00C34ADC"/>
    <w:rsid w:val="00C54912"/>
    <w:rsid w:val="00C63354"/>
    <w:rsid w:val="00C95D36"/>
    <w:rsid w:val="00CC3FD0"/>
    <w:rsid w:val="00CD6D2C"/>
    <w:rsid w:val="00CE224C"/>
    <w:rsid w:val="00CF2A91"/>
    <w:rsid w:val="00D56715"/>
    <w:rsid w:val="00DB5287"/>
    <w:rsid w:val="00DE7453"/>
    <w:rsid w:val="00E40554"/>
    <w:rsid w:val="00E51561"/>
    <w:rsid w:val="00E61F01"/>
    <w:rsid w:val="00F54174"/>
    <w:rsid w:val="00FA0DC2"/>
    <w:rsid w:val="00FB30A5"/>
    <w:rsid w:val="00FB4281"/>
    <w:rsid w:val="00FD3A85"/>
    <w:rsid w:val="00FF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D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736DDB"/>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DDB"/>
    <w:rPr>
      <w:rFonts w:eastAsia="Times New Roman" w:cs="Times New Roman"/>
      <w:b/>
      <w:bCs/>
    </w:rPr>
  </w:style>
  <w:style w:type="table" w:styleId="TableGrid">
    <w:name w:val="Table Grid"/>
    <w:basedOn w:val="TableNormal"/>
    <w:uiPriority w:val="59"/>
    <w:rsid w:val="0073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EC"/>
    <w:pPr>
      <w:ind w:left="720"/>
      <w:contextualSpacing/>
    </w:pPr>
  </w:style>
  <w:style w:type="paragraph" w:customStyle="1" w:styleId="Default">
    <w:name w:val="Default"/>
    <w:rsid w:val="008C04E9"/>
    <w:pPr>
      <w:autoSpaceDE w:val="0"/>
      <w:autoSpaceDN w:val="0"/>
      <w:adjustRightInd w:val="0"/>
    </w:pPr>
    <w:rPr>
      <w:color w:val="000000"/>
    </w:rPr>
  </w:style>
  <w:style w:type="character" w:styleId="Hyperlink">
    <w:name w:val="Hyperlink"/>
    <w:basedOn w:val="DefaultParagraphFont"/>
    <w:uiPriority w:val="99"/>
    <w:unhideWhenUsed/>
    <w:rsid w:val="00B95C15"/>
    <w:rPr>
      <w:color w:val="0000FF" w:themeColor="hyperlink"/>
      <w:u w:val="single"/>
    </w:rPr>
  </w:style>
  <w:style w:type="paragraph" w:styleId="BalloonText">
    <w:name w:val="Balloon Text"/>
    <w:basedOn w:val="Normal"/>
    <w:link w:val="BalloonTextChar"/>
    <w:uiPriority w:val="99"/>
    <w:semiHidden/>
    <w:unhideWhenUsed/>
    <w:rsid w:val="00B5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A"/>
    <w:rPr>
      <w:rFonts w:ascii="Tahoma" w:hAnsi="Tahoma" w:cs="Tahoma"/>
      <w:sz w:val="16"/>
      <w:szCs w:val="16"/>
    </w:rPr>
  </w:style>
  <w:style w:type="paragraph" w:styleId="Header">
    <w:name w:val="header"/>
    <w:basedOn w:val="Normal"/>
    <w:link w:val="HeaderChar"/>
    <w:uiPriority w:val="99"/>
    <w:unhideWhenUsed/>
    <w:rsid w:val="0043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FEF"/>
    <w:rPr>
      <w:rFonts w:asciiTheme="minorHAnsi" w:hAnsiTheme="minorHAnsi" w:cstheme="minorBidi"/>
      <w:sz w:val="22"/>
      <w:szCs w:val="22"/>
    </w:rPr>
  </w:style>
  <w:style w:type="paragraph" w:styleId="Footer">
    <w:name w:val="footer"/>
    <w:basedOn w:val="Normal"/>
    <w:link w:val="FooterChar"/>
    <w:uiPriority w:val="99"/>
    <w:unhideWhenUsed/>
    <w:rsid w:val="0043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FEF"/>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D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736DDB"/>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DDB"/>
    <w:rPr>
      <w:rFonts w:eastAsia="Times New Roman" w:cs="Times New Roman"/>
      <w:b/>
      <w:bCs/>
    </w:rPr>
  </w:style>
  <w:style w:type="table" w:styleId="TableGrid">
    <w:name w:val="Table Grid"/>
    <w:basedOn w:val="TableNormal"/>
    <w:uiPriority w:val="59"/>
    <w:rsid w:val="0073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EC"/>
    <w:pPr>
      <w:ind w:left="720"/>
      <w:contextualSpacing/>
    </w:pPr>
  </w:style>
  <w:style w:type="paragraph" w:customStyle="1" w:styleId="Default">
    <w:name w:val="Default"/>
    <w:rsid w:val="008C04E9"/>
    <w:pPr>
      <w:autoSpaceDE w:val="0"/>
      <w:autoSpaceDN w:val="0"/>
      <w:adjustRightInd w:val="0"/>
    </w:pPr>
    <w:rPr>
      <w:color w:val="000000"/>
    </w:rPr>
  </w:style>
  <w:style w:type="character" w:styleId="Hyperlink">
    <w:name w:val="Hyperlink"/>
    <w:basedOn w:val="DefaultParagraphFont"/>
    <w:uiPriority w:val="99"/>
    <w:unhideWhenUsed/>
    <w:rsid w:val="00B95C15"/>
    <w:rPr>
      <w:color w:val="0000FF" w:themeColor="hyperlink"/>
      <w:u w:val="single"/>
    </w:rPr>
  </w:style>
  <w:style w:type="paragraph" w:styleId="BalloonText">
    <w:name w:val="Balloon Text"/>
    <w:basedOn w:val="Normal"/>
    <w:link w:val="BalloonTextChar"/>
    <w:uiPriority w:val="99"/>
    <w:semiHidden/>
    <w:unhideWhenUsed/>
    <w:rsid w:val="00B5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A"/>
    <w:rPr>
      <w:rFonts w:ascii="Tahoma" w:hAnsi="Tahoma" w:cs="Tahoma"/>
      <w:sz w:val="16"/>
      <w:szCs w:val="16"/>
    </w:rPr>
  </w:style>
  <w:style w:type="paragraph" w:styleId="Header">
    <w:name w:val="header"/>
    <w:basedOn w:val="Normal"/>
    <w:link w:val="HeaderChar"/>
    <w:uiPriority w:val="99"/>
    <w:unhideWhenUsed/>
    <w:rsid w:val="0043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FEF"/>
    <w:rPr>
      <w:rFonts w:asciiTheme="minorHAnsi" w:hAnsiTheme="minorHAnsi" w:cstheme="minorBidi"/>
      <w:sz w:val="22"/>
      <w:szCs w:val="22"/>
    </w:rPr>
  </w:style>
  <w:style w:type="paragraph" w:styleId="Footer">
    <w:name w:val="footer"/>
    <w:basedOn w:val="Normal"/>
    <w:link w:val="FooterChar"/>
    <w:uiPriority w:val="99"/>
    <w:unhideWhenUsed/>
    <w:rsid w:val="0043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FE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612">
      <w:bodyDiv w:val="1"/>
      <w:marLeft w:val="0"/>
      <w:marRight w:val="0"/>
      <w:marTop w:val="0"/>
      <w:marBottom w:val="0"/>
      <w:divBdr>
        <w:top w:val="none" w:sz="0" w:space="0" w:color="auto"/>
        <w:left w:val="none" w:sz="0" w:space="0" w:color="auto"/>
        <w:bottom w:val="none" w:sz="0" w:space="0" w:color="auto"/>
        <w:right w:val="none" w:sz="0" w:space="0" w:color="auto"/>
      </w:divBdr>
    </w:div>
    <w:div w:id="112868608">
      <w:bodyDiv w:val="1"/>
      <w:marLeft w:val="0"/>
      <w:marRight w:val="0"/>
      <w:marTop w:val="0"/>
      <w:marBottom w:val="0"/>
      <w:divBdr>
        <w:top w:val="none" w:sz="0" w:space="0" w:color="auto"/>
        <w:left w:val="none" w:sz="0" w:space="0" w:color="auto"/>
        <w:bottom w:val="none" w:sz="0" w:space="0" w:color="auto"/>
        <w:right w:val="none" w:sz="0" w:space="0" w:color="auto"/>
      </w:divBdr>
    </w:div>
    <w:div w:id="135611470">
      <w:bodyDiv w:val="1"/>
      <w:marLeft w:val="0"/>
      <w:marRight w:val="0"/>
      <w:marTop w:val="0"/>
      <w:marBottom w:val="0"/>
      <w:divBdr>
        <w:top w:val="none" w:sz="0" w:space="0" w:color="auto"/>
        <w:left w:val="none" w:sz="0" w:space="0" w:color="auto"/>
        <w:bottom w:val="none" w:sz="0" w:space="0" w:color="auto"/>
        <w:right w:val="none" w:sz="0" w:space="0" w:color="auto"/>
      </w:divBdr>
    </w:div>
    <w:div w:id="288584794">
      <w:bodyDiv w:val="1"/>
      <w:marLeft w:val="0"/>
      <w:marRight w:val="0"/>
      <w:marTop w:val="0"/>
      <w:marBottom w:val="0"/>
      <w:divBdr>
        <w:top w:val="none" w:sz="0" w:space="0" w:color="auto"/>
        <w:left w:val="none" w:sz="0" w:space="0" w:color="auto"/>
        <w:bottom w:val="none" w:sz="0" w:space="0" w:color="auto"/>
        <w:right w:val="none" w:sz="0" w:space="0" w:color="auto"/>
      </w:divBdr>
    </w:div>
    <w:div w:id="362172195">
      <w:bodyDiv w:val="1"/>
      <w:marLeft w:val="0"/>
      <w:marRight w:val="0"/>
      <w:marTop w:val="0"/>
      <w:marBottom w:val="0"/>
      <w:divBdr>
        <w:top w:val="none" w:sz="0" w:space="0" w:color="auto"/>
        <w:left w:val="none" w:sz="0" w:space="0" w:color="auto"/>
        <w:bottom w:val="none" w:sz="0" w:space="0" w:color="auto"/>
        <w:right w:val="none" w:sz="0" w:space="0" w:color="auto"/>
      </w:divBdr>
    </w:div>
    <w:div w:id="410473165">
      <w:bodyDiv w:val="1"/>
      <w:marLeft w:val="0"/>
      <w:marRight w:val="0"/>
      <w:marTop w:val="0"/>
      <w:marBottom w:val="0"/>
      <w:divBdr>
        <w:top w:val="none" w:sz="0" w:space="0" w:color="auto"/>
        <w:left w:val="none" w:sz="0" w:space="0" w:color="auto"/>
        <w:bottom w:val="none" w:sz="0" w:space="0" w:color="auto"/>
        <w:right w:val="none" w:sz="0" w:space="0" w:color="auto"/>
      </w:divBdr>
    </w:div>
    <w:div w:id="439450701">
      <w:bodyDiv w:val="1"/>
      <w:marLeft w:val="0"/>
      <w:marRight w:val="0"/>
      <w:marTop w:val="0"/>
      <w:marBottom w:val="0"/>
      <w:divBdr>
        <w:top w:val="none" w:sz="0" w:space="0" w:color="auto"/>
        <w:left w:val="none" w:sz="0" w:space="0" w:color="auto"/>
        <w:bottom w:val="none" w:sz="0" w:space="0" w:color="auto"/>
        <w:right w:val="none" w:sz="0" w:space="0" w:color="auto"/>
      </w:divBdr>
    </w:div>
    <w:div w:id="487985376">
      <w:bodyDiv w:val="1"/>
      <w:marLeft w:val="0"/>
      <w:marRight w:val="0"/>
      <w:marTop w:val="0"/>
      <w:marBottom w:val="0"/>
      <w:divBdr>
        <w:top w:val="none" w:sz="0" w:space="0" w:color="auto"/>
        <w:left w:val="none" w:sz="0" w:space="0" w:color="auto"/>
        <w:bottom w:val="none" w:sz="0" w:space="0" w:color="auto"/>
        <w:right w:val="none" w:sz="0" w:space="0" w:color="auto"/>
      </w:divBdr>
    </w:div>
    <w:div w:id="584612131">
      <w:bodyDiv w:val="1"/>
      <w:marLeft w:val="0"/>
      <w:marRight w:val="0"/>
      <w:marTop w:val="0"/>
      <w:marBottom w:val="0"/>
      <w:divBdr>
        <w:top w:val="none" w:sz="0" w:space="0" w:color="auto"/>
        <w:left w:val="none" w:sz="0" w:space="0" w:color="auto"/>
        <w:bottom w:val="none" w:sz="0" w:space="0" w:color="auto"/>
        <w:right w:val="none" w:sz="0" w:space="0" w:color="auto"/>
      </w:divBdr>
    </w:div>
    <w:div w:id="660738428">
      <w:bodyDiv w:val="1"/>
      <w:marLeft w:val="0"/>
      <w:marRight w:val="0"/>
      <w:marTop w:val="0"/>
      <w:marBottom w:val="0"/>
      <w:divBdr>
        <w:top w:val="none" w:sz="0" w:space="0" w:color="auto"/>
        <w:left w:val="none" w:sz="0" w:space="0" w:color="auto"/>
        <w:bottom w:val="none" w:sz="0" w:space="0" w:color="auto"/>
        <w:right w:val="none" w:sz="0" w:space="0" w:color="auto"/>
      </w:divBdr>
    </w:div>
    <w:div w:id="1190098268">
      <w:bodyDiv w:val="1"/>
      <w:marLeft w:val="0"/>
      <w:marRight w:val="0"/>
      <w:marTop w:val="0"/>
      <w:marBottom w:val="0"/>
      <w:divBdr>
        <w:top w:val="none" w:sz="0" w:space="0" w:color="auto"/>
        <w:left w:val="none" w:sz="0" w:space="0" w:color="auto"/>
        <w:bottom w:val="none" w:sz="0" w:space="0" w:color="auto"/>
        <w:right w:val="none" w:sz="0" w:space="0" w:color="auto"/>
      </w:divBdr>
    </w:div>
    <w:div w:id="1243292812">
      <w:bodyDiv w:val="1"/>
      <w:marLeft w:val="0"/>
      <w:marRight w:val="0"/>
      <w:marTop w:val="0"/>
      <w:marBottom w:val="0"/>
      <w:divBdr>
        <w:top w:val="none" w:sz="0" w:space="0" w:color="auto"/>
        <w:left w:val="none" w:sz="0" w:space="0" w:color="auto"/>
        <w:bottom w:val="none" w:sz="0" w:space="0" w:color="auto"/>
        <w:right w:val="none" w:sz="0" w:space="0" w:color="auto"/>
      </w:divBdr>
    </w:div>
    <w:div w:id="1287152754">
      <w:bodyDiv w:val="1"/>
      <w:marLeft w:val="0"/>
      <w:marRight w:val="0"/>
      <w:marTop w:val="0"/>
      <w:marBottom w:val="0"/>
      <w:divBdr>
        <w:top w:val="none" w:sz="0" w:space="0" w:color="auto"/>
        <w:left w:val="none" w:sz="0" w:space="0" w:color="auto"/>
        <w:bottom w:val="none" w:sz="0" w:space="0" w:color="auto"/>
        <w:right w:val="none" w:sz="0" w:space="0" w:color="auto"/>
      </w:divBdr>
    </w:div>
    <w:div w:id="1416979465">
      <w:bodyDiv w:val="1"/>
      <w:marLeft w:val="0"/>
      <w:marRight w:val="0"/>
      <w:marTop w:val="0"/>
      <w:marBottom w:val="0"/>
      <w:divBdr>
        <w:top w:val="none" w:sz="0" w:space="0" w:color="auto"/>
        <w:left w:val="none" w:sz="0" w:space="0" w:color="auto"/>
        <w:bottom w:val="none" w:sz="0" w:space="0" w:color="auto"/>
        <w:right w:val="none" w:sz="0" w:space="0" w:color="auto"/>
      </w:divBdr>
    </w:div>
    <w:div w:id="1594901688">
      <w:bodyDiv w:val="1"/>
      <w:marLeft w:val="0"/>
      <w:marRight w:val="0"/>
      <w:marTop w:val="0"/>
      <w:marBottom w:val="0"/>
      <w:divBdr>
        <w:top w:val="none" w:sz="0" w:space="0" w:color="auto"/>
        <w:left w:val="none" w:sz="0" w:space="0" w:color="auto"/>
        <w:bottom w:val="none" w:sz="0" w:space="0" w:color="auto"/>
        <w:right w:val="none" w:sz="0" w:space="0" w:color="auto"/>
      </w:divBdr>
    </w:div>
    <w:div w:id="20527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citycbl.org.uk" TargetMode="External"/><Relationship Id="rId5" Type="http://schemas.openxmlformats.org/officeDocument/2006/relationships/settings" Target="settings.xml"/><Relationship Id="rId10" Type="http://schemas.openxmlformats.org/officeDocument/2006/relationships/hyperlink" Target="http://www.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E06F-0BEA-4BD1-ACB5-67695BC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214D9274</Template>
  <TotalTime>8</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abrown2</cp:lastModifiedBy>
  <cp:revision>6</cp:revision>
  <cp:lastPrinted>2015-12-02T11:40:00Z</cp:lastPrinted>
  <dcterms:created xsi:type="dcterms:W3CDTF">2015-12-02T17:09:00Z</dcterms:created>
  <dcterms:modified xsi:type="dcterms:W3CDTF">2015-12-02T17:22:00Z</dcterms:modified>
</cp:coreProperties>
</file>